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B021E">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bookmarkStart w:id="0" w:name="_GoBack"/>
      <w:bookmarkEnd w:id="0"/>
      <w:r>
        <w:rPr>
          <w:rFonts w:hint="eastAsia"/>
          <w:b/>
          <w:bCs/>
          <w:lang w:eastAsia="zh-CN"/>
        </w:rPr>
        <w:t>项目名称</w:t>
      </w:r>
      <w:r>
        <w:rPr>
          <w:rFonts w:hint="eastAsia"/>
          <w:lang w:eastAsia="zh-CN"/>
        </w:rPr>
        <w:t>：电针调控COPD肺内神经-免疫-自噬交互网络的机制研究</w:t>
      </w:r>
    </w:p>
    <w:p w14:paraId="6BB704DF">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b/>
          <w:bCs/>
          <w:lang w:eastAsia="zh-CN"/>
        </w:rPr>
        <w:t>提名者</w:t>
      </w:r>
      <w:r>
        <w:rPr>
          <w:rFonts w:hint="eastAsia"/>
          <w:lang w:eastAsia="zh-CN"/>
        </w:rPr>
        <w:t>：安徽中医药大学</w:t>
      </w:r>
    </w:p>
    <w:p w14:paraId="1BEAFDF7">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b/>
          <w:bCs/>
          <w:lang w:eastAsia="zh-CN"/>
        </w:rPr>
      </w:pPr>
      <w:r>
        <w:rPr>
          <w:rFonts w:hint="eastAsia"/>
          <w:b/>
          <w:bCs/>
          <w:lang w:eastAsia="zh-CN"/>
        </w:rPr>
        <w:t>提名意见</w:t>
      </w:r>
      <w:r>
        <w:rPr>
          <w:rFonts w:hint="eastAsia"/>
          <w:lang w:eastAsia="zh-CN"/>
        </w:rPr>
        <w:t>：</w:t>
      </w:r>
    </w:p>
    <w:p w14:paraId="4CFB2433">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lang w:eastAsia="zh-CN"/>
        </w:rPr>
        <w:t>中西医结合学院刘自兵教授主持的“电针调控COPD肺内神经-免疫-自噬交互网络的机制研究”项目，在国家自然科学基金和安徽省自然科学基金支持下，取得以下三点重要科学发现：</w:t>
      </w:r>
    </w:p>
    <w:p w14:paraId="62E771B3">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lang w:eastAsia="zh-CN"/>
        </w:rPr>
        <w:t>（</w:t>
      </w:r>
      <w:r>
        <w:rPr>
          <w:rFonts w:hint="eastAsia"/>
          <w:lang w:val="en-US" w:eastAsia="zh-CN"/>
        </w:rPr>
        <w:t>1</w:t>
      </w:r>
      <w:r>
        <w:rPr>
          <w:rFonts w:hint="eastAsia"/>
          <w:lang w:eastAsia="zh-CN"/>
        </w:rPr>
        <w:t>）阐明电针抑制肺神经内分泌细胞（PNECs）激活及其神经肽释放的源头干预机制。 电针抑制PNECs激活，减少CGRP与5-HT释放，从神经源性炎症始动环节阻断肺部炎症触发。</w:t>
      </w:r>
      <w:r>
        <w:rPr>
          <w:rFonts w:hint="eastAsia"/>
          <w:lang w:val="en-US" w:eastAsia="zh-CN"/>
        </w:rPr>
        <w:t>（2）</w:t>
      </w:r>
      <w:r>
        <w:rPr>
          <w:rFonts w:hint="eastAsia"/>
          <w:lang w:eastAsia="zh-CN"/>
        </w:rPr>
        <w:t>揭示电针通过“miR-19b-3p/SOCS3/JAK1-STAT3”分子轴同步遏制肺部固有-适应性双重免疫网络。 电针抑制miR-19b-3p表达，上调SOCS3，阻断JAK1/STAT3过度激活，一方面抑制MyD88/NF-</w:t>
      </w:r>
      <w:r>
        <w:rPr>
          <w:rFonts w:hint="default" w:ascii="Times New Roman" w:hAnsi="Times New Roman" w:cs="Times New Roman"/>
          <w:lang w:eastAsia="zh-CN"/>
        </w:rPr>
        <w:t>κ</w:t>
      </w:r>
      <w:r>
        <w:rPr>
          <w:rFonts w:hint="eastAsia"/>
          <w:lang w:eastAsia="zh-CN"/>
        </w:rPr>
        <w:t>B通路阻断巨噬细胞M1极化（固有免疫），另一方面下调Th17/IL-17轴削弱MAPK炎症放大（适应性免疫），揭示电针调控免疫微环境的级联分子开关。（</w:t>
      </w:r>
      <w:r>
        <w:rPr>
          <w:rFonts w:hint="eastAsia"/>
          <w:lang w:val="en-US" w:eastAsia="zh-CN"/>
        </w:rPr>
        <w:t>3</w:t>
      </w:r>
      <w:r>
        <w:rPr>
          <w:rFonts w:hint="eastAsia"/>
          <w:lang w:eastAsia="zh-CN"/>
        </w:rPr>
        <w:t>）发现电针恢复肺组织自噬流稳态。 电针下调AMPK、ULK1、Beclin1异常高表达；恢复自噬流，增强炎性残骸清除，巩固微环境稳态。本项目首次构建“PNECs神经肽始动—miR/JAK/STAT轴级联放大—自噬介导稳态修复”的完整COPD炎症病理链条，为针刺治疗COPD提供了从非编码RNA到组织稳态重塑的系统科学依据，并为靶向PNECs及miR-19b、SOCS3、JAK/STAT等的药物研发提供新靶标群。该项目属基础研究，代表性论文充分支撑科学发现。同意推荐申报202</w:t>
      </w:r>
      <w:r>
        <w:rPr>
          <w:rFonts w:hint="eastAsia"/>
          <w:lang w:val="en-US" w:eastAsia="zh-CN"/>
        </w:rPr>
        <w:t>5</w:t>
      </w:r>
      <w:r>
        <w:rPr>
          <w:rFonts w:hint="eastAsia"/>
          <w:lang w:eastAsia="zh-CN"/>
        </w:rPr>
        <w:t>年度安徽省自然科学奖。</w:t>
      </w:r>
    </w:p>
    <w:p w14:paraId="2B95024A">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lang w:eastAsia="zh-CN"/>
        </w:rPr>
      </w:pPr>
    </w:p>
    <w:p w14:paraId="0073309C">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eastAsiaTheme="minorEastAsia"/>
          <w:b/>
          <w:bCs/>
          <w:lang w:val="en-US" w:eastAsia="zh-CN"/>
        </w:rPr>
      </w:pPr>
      <w:r>
        <w:rPr>
          <w:rFonts w:hint="eastAsia"/>
          <w:b/>
          <w:bCs/>
          <w:lang w:val="en-US" w:eastAsia="zh-CN"/>
        </w:rPr>
        <w:t>项目简介：</w:t>
      </w:r>
    </w:p>
    <w:p w14:paraId="3B6AC6CD">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lang w:eastAsia="zh-CN"/>
        </w:rPr>
      </w:pPr>
      <w:r>
        <w:rPr>
          <w:rFonts w:hint="eastAsia"/>
          <w:lang w:eastAsia="zh-CN"/>
        </w:rPr>
        <w:t>本项目通过香烟暴露联合脂多糖构建COPD大鼠模型，选用临床最常用组合穴"足三里""肺俞"进行电针干预，在系统验证电针改善COPD模型大鼠肺功能与肺部炎症的基础上，围绕“肺部慢性炎症”这一疾病核心机制，从神经-免疫-自噬交互调控视角出发，依次深入三个层面：（1）神经源性炎症的启动环节——肺神经内分泌细胞（PNECs）的激活及其神经肽释放；（2）免疫炎症的级联放大与极化调控环节——基于“miR-19b-3p/SOCS3/JAK1-STAT3”分子轴的双重免疫网络重塑；（3）微环境稳态的维持与修复环节——自噬调控对炎症微环境的重塑。三个层面形成"启动—放大—稳态"的完整病理链条，系统阐释了电针调控肺内神经-免疫-自噬网络的机制。</w:t>
      </w:r>
    </w:p>
    <w:p w14:paraId="059A0F2F">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lang w:eastAsia="zh-CN"/>
        </w:rPr>
      </w:pPr>
      <w:r>
        <w:rPr>
          <w:rFonts w:hint="eastAsia"/>
          <w:lang w:eastAsia="zh-CN"/>
        </w:rPr>
        <w:t>本项目发现：1.肺神经内分泌细胞（PNECs）是气道上皮中具有感受器功能的特异性细胞，可散在分布或聚集成神经上皮小体（NEB），受迷走神经和背根神经双重支配（分别以P2X3受体和CGRP标记其传入纤维）。PNECs合成释放的CGRP和5-HT是其特征性神经活性物质。项目揭示了PNECs是针刺发挥肺局部抗炎的神经-免疫关键结构基础。电针通过抑制PNECs激活，下调其合成释放的降钙素基因相关肽（CGRP）和五羟色胺（5-HT），阻断神经源性炎症的启动环节，且该效应与肺组织炎症因子水平呈正相关。2.COPD肺部慢性炎症的进展依赖免疫细胞及其细胞因子的交互作用，同时受肺内微环境影响。本项目发现：电针通过上调SOCS3阻断JAK/STAT通路，从而同步抑制肺泡巨噬细胞M1极化（固有免疫）与IL-17介导的T细胞反应（适应性免疫），实现肺内免疫稳态重塑的级联调控机制。3.自噬是维持肺内微环境稳态的保守性降解过程，但过度自噬可加重肺组织损伤，促进COPD进展。本项目发现了COPD进展过程中“转录因子EB—溶酶体功能障碍—自噬流阻断—代偿性过度自噬”的级联机制，并确立电针调控自噬稳态维护COPD肺内微环境的新策略。</w:t>
      </w:r>
    </w:p>
    <w:p w14:paraId="479F756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lang w:eastAsia="zh-CN"/>
        </w:rPr>
      </w:pPr>
      <w:r>
        <w:rPr>
          <w:rFonts w:hint="eastAsia"/>
          <w:lang w:eastAsia="zh-CN"/>
        </w:rPr>
        <w:t>本项目意义：本项目首次构建“PNECs神经肽始动—miR-19b/SOCS3/JAK-STAT轴级联放大—自噬介导的稳态失衡”的COPD炎症病理链条。发现电针通过上调SOCS3阻断JAK1/STAT3，同步遏制固有免疫（M1极化）与适应性免疫（Th17/IL-17）双重网络，并解除自噬的转录抑制，恢复炎性残骸清除。该发现将电针抗炎机制从“多靶点平行抑制”推进至“单轴级联调控、多环节协同修复”的系统性策略，为针刺治疗COPD提供了从非编码RNA到组织稳态重塑的完整科学依据，并为靶向miR-19b/SOCS3/JAK-STAT的抗炎药物研发开辟了新靶标群。</w:t>
      </w:r>
    </w:p>
    <w:p w14:paraId="7C09ABCE">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lang w:eastAsia="zh-CN"/>
        </w:rPr>
      </w:pPr>
      <w:r>
        <w:rPr>
          <w:rFonts w:hint="eastAsia"/>
          <w:lang w:eastAsia="zh-CN"/>
        </w:rPr>
        <w:t>本项目培养硕士研究生1</w:t>
      </w:r>
      <w:r>
        <w:rPr>
          <w:rFonts w:hint="eastAsia"/>
          <w:lang w:val="en-US" w:eastAsia="zh-CN"/>
        </w:rPr>
        <w:t>9</w:t>
      </w:r>
      <w:r>
        <w:rPr>
          <w:rFonts w:hint="eastAsia"/>
          <w:lang w:eastAsia="zh-CN"/>
        </w:rPr>
        <w:t>人、本科生10人；</w:t>
      </w:r>
      <w:r>
        <w:rPr>
          <w:rFonts w:hint="eastAsia"/>
          <w:lang w:val="en-US" w:eastAsia="zh-CN"/>
        </w:rPr>
        <w:t>6</w:t>
      </w:r>
      <w:r>
        <w:rPr>
          <w:rFonts w:hint="eastAsia"/>
          <w:lang w:eastAsia="zh-CN"/>
        </w:rPr>
        <w:t>篇代表性论文（英文2篇SCI收录、中文4篇Medline收录）总引用146次，他人引用138次，单篇最高他人引用43次。</w:t>
      </w:r>
    </w:p>
    <w:p w14:paraId="01411CAC">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b/>
          <w:bCs/>
          <w:lang w:eastAsia="zh-CN"/>
        </w:rPr>
        <w:t>代表性论文专著目录</w:t>
      </w:r>
      <w:r>
        <w:rPr>
          <w:rFonts w:hint="eastAsia"/>
          <w:lang w:eastAsia="zh-CN"/>
        </w:rPr>
        <w:t>：</w:t>
      </w:r>
    </w:p>
    <w:p w14:paraId="164C67D8">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Chars="0"/>
        <w:jc w:val="left"/>
        <w:textAlignment w:val="auto"/>
        <w:outlineLvl w:val="9"/>
        <w:rPr>
          <w:rFonts w:hint="eastAsia" w:ascii="Times New Roman" w:hAnsi="Times New Roman" w:eastAsia="宋体" w:cs="Arial"/>
          <w:b w:val="0"/>
          <w:bCs w:val="0"/>
          <w:i w:val="0"/>
          <w:iCs w:val="0"/>
          <w:caps w:val="0"/>
          <w:color w:val="000000"/>
          <w:spacing w:val="0"/>
          <w:sz w:val="21"/>
          <w:szCs w:val="21"/>
          <w:highlight w:val="none"/>
          <w:shd w:val="clear" w:color="auto" w:fill="FFFFFF"/>
          <w:lang w:val="en-US" w:eastAsia="zh-CN"/>
        </w:rPr>
      </w:pPr>
      <w:r>
        <w:rPr>
          <w:rFonts w:hint="eastAsia" w:ascii="Times New Roman" w:hAnsi="Times New Roman" w:eastAsia="宋体"/>
          <w:b w:val="0"/>
          <w:bCs w:val="0"/>
          <w:iCs/>
          <w:sz w:val="21"/>
          <w:szCs w:val="21"/>
          <w:highlight w:val="none"/>
          <w:lang w:val="en-US" w:eastAsia="zh-CN"/>
        </w:rPr>
        <w:t>[1]Zhang XF, Xiang SY, Lu J, Li Y, Zhao SJ, Jiang CW, Liu XG, Liu ZB, Zhang J</w:t>
      </w:r>
      <w:r>
        <w:rPr>
          <w:rFonts w:hint="eastAsia" w:ascii="Times New Roman" w:hAnsi="Times New Roman" w:eastAsia="宋体"/>
          <w:b w:val="0"/>
          <w:bCs w:val="0"/>
          <w:sz w:val="21"/>
          <w:szCs w:val="21"/>
          <w:highlight w:val="none"/>
          <w:lang w:val="en-US" w:eastAsia="zh-CN"/>
        </w:rPr>
        <w:t>(通讯)</w:t>
      </w:r>
      <w:r>
        <w:rPr>
          <w:rFonts w:hint="eastAsia" w:ascii="Times New Roman" w:hAnsi="Times New Roman" w:eastAsia="宋体"/>
          <w:b w:val="0"/>
          <w:bCs w:val="0"/>
          <w:iCs/>
          <w:sz w:val="21"/>
          <w:szCs w:val="21"/>
          <w:highlight w:val="none"/>
          <w:lang w:val="en-US" w:eastAsia="zh-CN"/>
        </w:rPr>
        <w:t>. Electroacupuncture inhibits IL-17/IL-17R and post-receptor MAPK signaling pathways in a rat model of chronic obstructive pulmonary disease</w:t>
      </w:r>
      <w:r>
        <w:rPr>
          <w:rFonts w:hint="eastAsia" w:ascii="Times New Roman" w:hAnsi="Times New Roman" w:eastAsia="宋体"/>
          <w:b w:val="0"/>
          <w:bCs w:val="0"/>
          <w:sz w:val="21"/>
          <w:szCs w:val="21"/>
          <w:highlight w:val="none"/>
          <w:lang w:val="en-US" w:eastAsia="zh-CN"/>
        </w:rPr>
        <w:t>[J]</w:t>
      </w:r>
      <w:r>
        <w:rPr>
          <w:rFonts w:hint="eastAsia" w:ascii="Times New Roman" w:hAnsi="Times New Roman" w:eastAsia="宋体"/>
          <w:b w:val="0"/>
          <w:bCs w:val="0"/>
          <w:iCs/>
          <w:sz w:val="21"/>
          <w:szCs w:val="21"/>
          <w:highlight w:val="none"/>
          <w:lang w:val="en-US" w:eastAsia="zh-CN"/>
        </w:rPr>
        <w:t>.</w:t>
      </w:r>
      <w:r>
        <w:rPr>
          <w:rFonts w:hint="eastAsia" w:ascii="Times New Roman" w:hAnsi="Times New Roman" w:eastAsia="宋体"/>
          <w:b w:val="0"/>
          <w:bCs w:val="0"/>
          <w:iCs/>
          <w:sz w:val="21"/>
          <w:szCs w:val="21"/>
          <w:highlight w:val="none"/>
        </w:rPr>
        <w:t xml:space="preserve">Acupuncture in Medicine, </w:t>
      </w:r>
      <w:r>
        <w:rPr>
          <w:rFonts w:hint="eastAsia" w:ascii="Times New Roman" w:hAnsi="Times New Roman" w:eastAsia="宋体"/>
          <w:b w:val="0"/>
          <w:bCs w:val="0"/>
          <w:iCs/>
          <w:sz w:val="21"/>
          <w:szCs w:val="21"/>
          <w:highlight w:val="none"/>
          <w:lang w:val="en-US" w:eastAsia="zh-CN"/>
        </w:rPr>
        <w:t>2021,</w:t>
      </w:r>
      <w:r>
        <w:rPr>
          <w:rFonts w:ascii="Times New Roman" w:hAnsi="Times New Roman" w:eastAsia="宋体" w:cs="Arial"/>
          <w:b w:val="0"/>
          <w:bCs w:val="0"/>
          <w:i w:val="0"/>
          <w:iCs w:val="0"/>
          <w:caps w:val="0"/>
          <w:color w:val="000000"/>
          <w:spacing w:val="0"/>
          <w:sz w:val="21"/>
          <w:szCs w:val="21"/>
          <w:highlight w:val="none"/>
          <w:shd w:val="clear" w:color="auto" w:fill="FFFFFF"/>
        </w:rPr>
        <w:t>39</w:t>
      </w:r>
      <w:r>
        <w:rPr>
          <w:rFonts w:hint="default" w:ascii="Times New Roman" w:hAnsi="Times New Roman" w:eastAsia="宋体" w:cs="Arial"/>
          <w:b w:val="0"/>
          <w:bCs w:val="0"/>
          <w:i w:val="0"/>
          <w:iCs w:val="0"/>
          <w:caps w:val="0"/>
          <w:color w:val="000000"/>
          <w:spacing w:val="0"/>
          <w:sz w:val="21"/>
          <w:szCs w:val="21"/>
          <w:highlight w:val="none"/>
          <w:shd w:val="clear" w:color="auto" w:fill="FFFFFF"/>
        </w:rPr>
        <w:t> (6)</w:t>
      </w:r>
      <w:r>
        <w:rPr>
          <w:rFonts w:hint="eastAsia" w:ascii="Times New Roman" w:hAnsi="Times New Roman" w:eastAsia="宋体" w:cs="Arial"/>
          <w:b w:val="0"/>
          <w:bCs w:val="0"/>
          <w:i w:val="0"/>
          <w:iCs w:val="0"/>
          <w:caps w:val="0"/>
          <w:color w:val="000000"/>
          <w:spacing w:val="0"/>
          <w:sz w:val="21"/>
          <w:szCs w:val="21"/>
          <w:highlight w:val="none"/>
          <w:shd w:val="clear" w:color="auto" w:fill="FFFFFF"/>
          <w:lang w:eastAsia="zh-CN"/>
        </w:rPr>
        <w:t>：</w:t>
      </w:r>
      <w:r>
        <w:rPr>
          <w:rFonts w:hint="default" w:ascii="Times New Roman" w:hAnsi="Times New Roman" w:eastAsia="宋体" w:cs="Arial"/>
          <w:b w:val="0"/>
          <w:bCs w:val="0"/>
          <w:i w:val="0"/>
          <w:iCs w:val="0"/>
          <w:caps w:val="0"/>
          <w:color w:val="000000"/>
          <w:spacing w:val="0"/>
          <w:sz w:val="21"/>
          <w:szCs w:val="21"/>
          <w:highlight w:val="none"/>
          <w:shd w:val="clear" w:color="auto" w:fill="FFFFFF"/>
        </w:rPr>
        <w:t>663-672</w:t>
      </w:r>
      <w:r>
        <w:rPr>
          <w:rFonts w:hint="eastAsia" w:ascii="Times New Roman" w:hAnsi="Times New Roman" w:eastAsia="宋体" w:cs="Arial"/>
          <w:b w:val="0"/>
          <w:bCs w:val="0"/>
          <w:i w:val="0"/>
          <w:iCs w:val="0"/>
          <w:caps w:val="0"/>
          <w:color w:val="000000"/>
          <w:spacing w:val="0"/>
          <w:sz w:val="21"/>
          <w:szCs w:val="21"/>
          <w:highlight w:val="none"/>
          <w:shd w:val="clear" w:color="auto" w:fill="FFFFFF"/>
          <w:lang w:val="en-US" w:eastAsia="zh-CN"/>
        </w:rPr>
        <w:t>.</w:t>
      </w:r>
    </w:p>
    <w:p w14:paraId="5F971CE4">
      <w:pPr>
        <w:keepNext w:val="0"/>
        <w:keepLines w:val="0"/>
        <w:pageBreakBefore w:val="0"/>
        <w:widowControl w:val="0"/>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b w:val="0"/>
          <w:bCs w:val="0"/>
          <w:sz w:val="21"/>
          <w:szCs w:val="21"/>
          <w:highlight w:val="none"/>
        </w:rPr>
      </w:pPr>
      <w:r>
        <w:rPr>
          <w:rFonts w:hint="eastAsia" w:ascii="Times New Roman" w:hAnsi="Times New Roman" w:eastAsia="宋体" w:cs="楷体_GB2312"/>
          <w:b w:val="0"/>
          <w:bCs w:val="0"/>
          <w:snapToGrid w:val="0"/>
          <w:sz w:val="21"/>
          <w:szCs w:val="21"/>
          <w:highlight w:val="none"/>
          <w:lang w:val="en-US" w:eastAsia="zh-CN"/>
        </w:rPr>
        <w:t>[2]</w:t>
      </w:r>
      <w:r>
        <w:rPr>
          <w:rFonts w:hint="eastAsia" w:hAnsi="宋体" w:eastAsia="仿宋_GB2312"/>
          <w:sz w:val="24"/>
          <w:szCs w:val="24"/>
          <w:highlight w:val="none"/>
        </w:rPr>
        <w:t>Shu-wen Xu, Yu-jie Zhang, Wen-mei Liu, Xin-fang Zhang, Yuan Wang, Shui-ying Xiang, Jing-chao S</w:t>
      </w:r>
      <w:r>
        <w:rPr>
          <w:rFonts w:hint="eastAsia" w:hAnsi="宋体" w:eastAsia="仿宋_GB2312"/>
          <w:b w:val="0"/>
          <w:bCs w:val="0"/>
          <w:sz w:val="24"/>
          <w:szCs w:val="24"/>
          <w:highlight w:val="none"/>
        </w:rPr>
        <w:t>u</w:t>
      </w:r>
      <w:r>
        <w:rPr>
          <w:rFonts w:hint="eastAsia" w:hAnsi="宋体" w:eastAsia="仿宋_GB2312"/>
          <w:b w:val="0"/>
          <w:bCs w:val="0"/>
          <w:sz w:val="24"/>
          <w:szCs w:val="24"/>
          <w:highlight w:val="none"/>
          <w:lang w:val="en-US" w:eastAsia="zh-CN"/>
        </w:rPr>
        <w:t>,</w:t>
      </w:r>
      <w:r>
        <w:rPr>
          <w:rFonts w:hint="eastAsia" w:hAnsi="宋体" w:eastAsia="仿宋_GB2312"/>
          <w:b w:val="0"/>
          <w:bCs w:val="0"/>
          <w:sz w:val="24"/>
          <w:szCs w:val="24"/>
          <w:highlight w:val="none"/>
        </w:rPr>
        <w:t xml:space="preserve"> Zi-bing Liu</w:t>
      </w:r>
      <w:r>
        <w:rPr>
          <w:rFonts w:hint="eastAsia" w:ascii="Times New Roman" w:hAnsi="Times New Roman" w:eastAsia="宋体"/>
          <w:b w:val="0"/>
          <w:bCs w:val="0"/>
          <w:sz w:val="21"/>
          <w:szCs w:val="21"/>
          <w:highlight w:val="none"/>
          <w:lang w:val="en-US" w:eastAsia="zh-CN"/>
        </w:rPr>
        <w:t>(通讯)</w:t>
      </w:r>
      <w:r>
        <w:rPr>
          <w:rFonts w:hint="eastAsia" w:hAnsi="宋体" w:eastAsia="仿宋_GB2312"/>
          <w:b w:val="0"/>
          <w:bCs w:val="0"/>
          <w:sz w:val="24"/>
          <w:szCs w:val="24"/>
          <w:highlight w:val="none"/>
          <w:lang w:val="en-US" w:eastAsia="zh-CN"/>
        </w:rPr>
        <w:t>.</w:t>
      </w:r>
      <w:r>
        <w:rPr>
          <w:rFonts w:hint="eastAsia" w:hAnsi="宋体" w:eastAsia="仿宋_GB2312"/>
          <w:b w:val="0"/>
          <w:bCs w:val="0"/>
          <w:sz w:val="24"/>
          <w:szCs w:val="24"/>
          <w:highlight w:val="none"/>
        </w:rPr>
        <w:t>Cig</w:t>
      </w:r>
      <w:r>
        <w:rPr>
          <w:rFonts w:hint="eastAsia" w:hAnsi="宋体" w:eastAsia="仿宋_GB2312"/>
          <w:sz w:val="24"/>
          <w:szCs w:val="24"/>
          <w:highlight w:val="none"/>
        </w:rPr>
        <w:t>arette smoke extract-induced inflammatory response via inhibition of the TFEB-mediated autophagy in NR8383 cells</w:t>
      </w:r>
      <w:r>
        <w:rPr>
          <w:rFonts w:hint="eastAsia" w:hAnsi="宋体" w:eastAsia="仿宋_GB2312"/>
          <w:sz w:val="24"/>
          <w:szCs w:val="24"/>
          <w:highlight w:val="none"/>
          <w:lang w:val="en-US" w:eastAsia="zh-CN"/>
        </w:rPr>
        <w:t>[J]</w:t>
      </w:r>
      <w:r>
        <w:rPr>
          <w:rFonts w:hint="eastAsia" w:ascii="Times New Roman" w:hAnsi="Times New Roman" w:eastAsia="宋体" w:cs="Times New Roman"/>
          <w:kern w:val="0"/>
          <w:szCs w:val="21"/>
          <w:highlight w:val="none"/>
          <w:lang w:val="en-US" w:eastAsia="zh-CN"/>
        </w:rPr>
        <w:t>.Experimental Lung Research,</w:t>
      </w:r>
      <w:r>
        <w:rPr>
          <w:rFonts w:hint="eastAsia" w:hAnsi="宋体" w:eastAsia="仿宋_GB2312"/>
          <w:sz w:val="24"/>
          <w:szCs w:val="24"/>
          <w:highlight w:val="none"/>
          <w:lang w:val="en-US" w:eastAsia="zh-CN"/>
        </w:rPr>
        <w:t>2023, 49(1): 39-48.</w:t>
      </w:r>
      <w:r>
        <w:rPr>
          <w:rFonts w:hint="eastAsia" w:ascii="Times New Roman" w:hAnsi="Times New Roman" w:eastAsia="宋体" w:cs="楷体_GB2312"/>
          <w:b w:val="0"/>
          <w:bCs w:val="0"/>
          <w:snapToGrid w:val="0"/>
          <w:sz w:val="21"/>
          <w:szCs w:val="21"/>
          <w:highlight w:val="none"/>
          <w:lang w:val="en-US" w:eastAsia="zh-CN"/>
        </w:rPr>
        <w:t>.</w:t>
      </w:r>
    </w:p>
    <w:p w14:paraId="27AAE213">
      <w:pPr>
        <w:keepNext w:val="0"/>
        <w:keepLines w:val="0"/>
        <w:pageBreakBefore w:val="0"/>
        <w:widowControl w:val="0"/>
        <w:kinsoku/>
        <w:wordWrap/>
        <w:overflowPunct/>
        <w:topLinePunct w:val="0"/>
        <w:autoSpaceDE/>
        <w:autoSpaceDN/>
        <w:bidi w:val="0"/>
        <w:adjustRightInd/>
        <w:spacing w:line="400" w:lineRule="exact"/>
        <w:ind w:right="105" w:rightChars="50"/>
        <w:textAlignment w:val="auto"/>
        <w:outlineLvl w:val="9"/>
        <w:rPr>
          <w:rFonts w:hint="default" w:ascii="Times New Roman" w:hAnsi="Times New Roman" w:eastAsia="宋体" w:cs="楷体_GB2312"/>
          <w:b w:val="0"/>
          <w:bCs w:val="0"/>
          <w:snapToGrid w:val="0"/>
          <w:sz w:val="21"/>
          <w:szCs w:val="21"/>
          <w:highlight w:val="none"/>
          <w:lang w:val="en-US" w:eastAsia="zh-CN"/>
        </w:rPr>
      </w:pPr>
      <w:r>
        <w:rPr>
          <w:rFonts w:hint="eastAsia" w:ascii="Times New Roman" w:hAnsi="Times New Roman" w:eastAsia="宋体" w:cs="楷体_GB2312"/>
          <w:b w:val="0"/>
          <w:bCs w:val="0"/>
          <w:snapToGrid w:val="0"/>
          <w:sz w:val="21"/>
          <w:szCs w:val="21"/>
          <w:highlight w:val="none"/>
          <w:lang w:val="en-US" w:eastAsia="zh-CN"/>
        </w:rPr>
        <w:t>[3]</w:t>
      </w:r>
      <w:r>
        <w:rPr>
          <w:rFonts w:hint="default" w:ascii="Times New Roman" w:hAnsi="Times New Roman" w:eastAsia="宋体" w:cs="楷体_GB2312"/>
          <w:b w:val="0"/>
          <w:bCs w:val="0"/>
          <w:snapToGrid w:val="0"/>
          <w:sz w:val="21"/>
          <w:szCs w:val="21"/>
          <w:highlight w:val="none"/>
          <w:lang w:val="en-US" w:eastAsia="zh-CN"/>
        </w:rPr>
        <w:t>李尹, 张新芳, 刘自兵</w:t>
      </w:r>
      <w:r>
        <w:rPr>
          <w:rFonts w:hint="eastAsia" w:ascii="Times New Roman" w:hAnsi="Times New Roman" w:eastAsia="宋体"/>
          <w:b w:val="0"/>
          <w:bCs w:val="0"/>
          <w:sz w:val="21"/>
          <w:szCs w:val="21"/>
          <w:highlight w:val="none"/>
          <w:lang w:val="en-US" w:eastAsia="zh-CN"/>
        </w:rPr>
        <w:t>(通讯)</w:t>
      </w:r>
      <w:r>
        <w:rPr>
          <w:rFonts w:hint="default" w:ascii="Times New Roman" w:hAnsi="Times New Roman" w:eastAsia="宋体" w:cs="楷体_GB2312"/>
          <w:b w:val="0"/>
          <w:bCs w:val="0"/>
          <w:snapToGrid w:val="0"/>
          <w:sz w:val="21"/>
          <w:szCs w:val="21"/>
          <w:highlight w:val="none"/>
          <w:lang w:val="en-US" w:eastAsia="zh-CN"/>
        </w:rPr>
        <w:t>, 詹婉婷</w:t>
      </w:r>
      <w:r>
        <w:rPr>
          <w:rFonts w:hint="eastAsia" w:ascii="Times New Roman" w:hAnsi="Times New Roman" w:eastAsia="宋体" w:cs="楷体_GB2312"/>
          <w:b w:val="0"/>
          <w:bCs w:val="0"/>
          <w:snapToGrid w:val="0"/>
          <w:sz w:val="21"/>
          <w:szCs w:val="21"/>
          <w:highlight w:val="none"/>
          <w:lang w:val="en-US" w:eastAsia="zh-CN"/>
        </w:rPr>
        <w:t>,</w:t>
      </w:r>
      <w:r>
        <w:rPr>
          <w:rFonts w:hint="default" w:ascii="Times New Roman" w:hAnsi="Times New Roman" w:eastAsia="宋体" w:cs="楷体_GB2312"/>
          <w:b w:val="0"/>
          <w:bCs w:val="0"/>
          <w:snapToGrid w:val="0"/>
          <w:sz w:val="21"/>
          <w:szCs w:val="21"/>
          <w:highlight w:val="none"/>
          <w:lang w:val="en-US" w:eastAsia="zh-CN"/>
        </w:rPr>
        <w:t>张毅</w:t>
      </w:r>
      <w:r>
        <w:rPr>
          <w:rFonts w:hint="eastAsia" w:ascii="Times New Roman" w:hAnsi="Times New Roman" w:eastAsia="宋体" w:cs="楷体_GB2312"/>
          <w:b w:val="0"/>
          <w:bCs w:val="0"/>
          <w:snapToGrid w:val="0"/>
          <w:sz w:val="21"/>
          <w:szCs w:val="21"/>
          <w:highlight w:val="none"/>
          <w:lang w:val="en-US" w:eastAsia="zh-CN"/>
        </w:rPr>
        <w:t>,</w:t>
      </w:r>
      <w:r>
        <w:rPr>
          <w:rFonts w:hint="default" w:ascii="Times New Roman" w:hAnsi="Times New Roman" w:eastAsia="宋体" w:cs="楷体_GB2312"/>
          <w:b w:val="0"/>
          <w:bCs w:val="0"/>
          <w:snapToGrid w:val="0"/>
          <w:sz w:val="21"/>
          <w:szCs w:val="21"/>
          <w:highlight w:val="none"/>
          <w:lang w:val="en-US" w:eastAsia="zh-CN"/>
        </w:rPr>
        <w:t>程晨</w:t>
      </w:r>
      <w:r>
        <w:rPr>
          <w:rFonts w:hint="eastAsia" w:ascii="Times New Roman" w:hAnsi="Times New Roman" w:eastAsia="宋体" w:cs="楷体_GB2312"/>
          <w:b w:val="0"/>
          <w:bCs w:val="0"/>
          <w:snapToGrid w:val="0"/>
          <w:sz w:val="21"/>
          <w:szCs w:val="21"/>
          <w:highlight w:val="none"/>
          <w:lang w:val="en-US" w:eastAsia="zh-CN"/>
        </w:rPr>
        <w:t>,</w:t>
      </w:r>
      <w:r>
        <w:rPr>
          <w:rFonts w:hint="default" w:ascii="Times New Roman" w:hAnsi="Times New Roman" w:eastAsia="宋体" w:cs="楷体_GB2312"/>
          <w:b w:val="0"/>
          <w:bCs w:val="0"/>
          <w:snapToGrid w:val="0"/>
          <w:sz w:val="21"/>
          <w:szCs w:val="21"/>
          <w:highlight w:val="none"/>
          <w:lang w:val="en-US" w:eastAsia="zh-CN"/>
        </w:rPr>
        <w:t>谢菁菁</w:t>
      </w:r>
      <w:r>
        <w:rPr>
          <w:rFonts w:hint="eastAsia" w:ascii="Times New Roman" w:hAnsi="Times New Roman" w:eastAsia="宋体" w:cs="楷体_GB2312"/>
          <w:b w:val="0"/>
          <w:bCs w:val="0"/>
          <w:snapToGrid w:val="0"/>
          <w:sz w:val="21"/>
          <w:szCs w:val="21"/>
          <w:highlight w:val="none"/>
          <w:lang w:val="en-US" w:eastAsia="zh-CN"/>
        </w:rPr>
        <w:t>.</w:t>
      </w:r>
      <w:r>
        <w:rPr>
          <w:rFonts w:hint="default" w:ascii="Times New Roman" w:hAnsi="Times New Roman" w:eastAsia="宋体" w:cs="楷体_GB2312"/>
          <w:b w:val="0"/>
          <w:bCs w:val="0"/>
          <w:snapToGrid w:val="0"/>
          <w:sz w:val="21"/>
          <w:szCs w:val="21"/>
          <w:highlight w:val="none"/>
          <w:lang w:val="en-US" w:eastAsia="zh-CN"/>
        </w:rPr>
        <w:t xml:space="preserve"> 电针对慢性阻塞性肺疾病大鼠肺泡巨噬细胞M1极化的影响[J]. 针刺研究，2020, 45(3):173-179.</w:t>
      </w:r>
    </w:p>
    <w:p w14:paraId="69CB3482">
      <w:pPr>
        <w:keepNext w:val="0"/>
        <w:keepLines w:val="0"/>
        <w:pageBreakBefore w:val="0"/>
        <w:widowControl w:val="0"/>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b w:val="0"/>
          <w:bCs w:val="0"/>
          <w:sz w:val="21"/>
          <w:szCs w:val="21"/>
          <w:highlight w:val="none"/>
          <w:lang w:val="en-US" w:eastAsia="zh-CN"/>
        </w:rPr>
      </w:pPr>
      <w:r>
        <w:rPr>
          <w:rFonts w:hint="eastAsia" w:ascii="Times New Roman" w:hAnsi="Times New Roman" w:eastAsia="宋体"/>
          <w:b w:val="0"/>
          <w:bCs w:val="0"/>
          <w:sz w:val="21"/>
          <w:szCs w:val="21"/>
          <w:highlight w:val="none"/>
          <w:lang w:val="en-US" w:eastAsia="zh-CN"/>
        </w:rPr>
        <w:t>[4]王彩云，苏景超，张新芳，程晨，张毅，项水英，刘文美，张玉洁，徐淑文，</w:t>
      </w:r>
    </w:p>
    <w:p w14:paraId="78F1906F">
      <w:pPr>
        <w:keepNext w:val="0"/>
        <w:keepLines w:val="0"/>
        <w:pageBreakBefore w:val="0"/>
        <w:widowControl w:val="0"/>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b w:val="0"/>
          <w:bCs w:val="0"/>
          <w:sz w:val="21"/>
          <w:szCs w:val="21"/>
          <w:highlight w:val="none"/>
          <w:lang w:val="en-US" w:eastAsia="zh-CN"/>
        </w:rPr>
      </w:pPr>
      <w:r>
        <w:rPr>
          <w:rFonts w:hint="eastAsia" w:ascii="Times New Roman" w:hAnsi="Times New Roman" w:eastAsia="宋体"/>
          <w:b w:val="0"/>
          <w:bCs w:val="0"/>
          <w:sz w:val="21"/>
          <w:szCs w:val="21"/>
          <w:highlight w:val="none"/>
          <w:lang w:val="en-US" w:eastAsia="zh-CN"/>
        </w:rPr>
        <w:t>刘自兵（通讯）．电针对慢性阻塞性肺疾病大鼠肺神经内分泌细胞及神经活性物质分泌的影响[J]．针刺研究,2022, 47(4):305-313.</w:t>
      </w:r>
    </w:p>
    <w:p w14:paraId="573DB6A5">
      <w:pPr>
        <w:keepNext w:val="0"/>
        <w:keepLines w:val="0"/>
        <w:pageBreakBefore w:val="0"/>
        <w:widowControl w:val="0"/>
        <w:numPr>
          <w:ilvl w:val="0"/>
          <w:numId w:val="1"/>
        </w:numPr>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b w:val="0"/>
          <w:bCs w:val="0"/>
          <w:sz w:val="21"/>
          <w:szCs w:val="21"/>
          <w:highlight w:val="none"/>
          <w:lang w:val="en-US" w:eastAsia="zh-CN"/>
        </w:rPr>
      </w:pPr>
      <w:r>
        <w:rPr>
          <w:rFonts w:hint="eastAsia" w:ascii="Times New Roman" w:hAnsi="Times New Roman" w:eastAsia="宋体"/>
          <w:b w:val="0"/>
          <w:bCs w:val="0"/>
          <w:sz w:val="21"/>
          <w:szCs w:val="21"/>
          <w:highlight w:val="none"/>
        </w:rPr>
        <w:t>程晨</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张新芳</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苏景超</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张毅</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李尹</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项水英</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王彩云</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王媛</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苏婧婧</w:t>
      </w:r>
      <w:r>
        <w:rPr>
          <w:rFonts w:hint="eastAsia" w:ascii="Times New Roman" w:hAnsi="Times New Roman" w:eastAsia="宋体"/>
          <w:b w:val="0"/>
          <w:bCs w:val="0"/>
          <w:sz w:val="21"/>
          <w:szCs w:val="21"/>
          <w:highlight w:val="none"/>
          <w:lang w:val="en-US" w:eastAsia="zh-CN"/>
        </w:rPr>
        <w:t>,</w:t>
      </w:r>
      <w:r>
        <w:rPr>
          <w:rFonts w:hint="eastAsia" w:ascii="Times New Roman" w:hAnsi="Times New Roman" w:eastAsia="宋体"/>
          <w:b w:val="0"/>
          <w:bCs w:val="0"/>
          <w:sz w:val="21"/>
          <w:szCs w:val="21"/>
          <w:highlight w:val="none"/>
        </w:rPr>
        <w:t>刘自兵</w:t>
      </w:r>
      <w:r>
        <w:rPr>
          <w:rFonts w:hint="eastAsia" w:ascii="Times New Roman" w:hAnsi="Times New Roman" w:eastAsia="宋体"/>
          <w:b w:val="0"/>
          <w:bCs w:val="0"/>
          <w:sz w:val="21"/>
          <w:szCs w:val="21"/>
          <w:highlight w:val="none"/>
          <w:lang w:val="en-US" w:eastAsia="zh-CN"/>
        </w:rPr>
        <w:t>(通讯).</w:t>
      </w:r>
      <w:r>
        <w:rPr>
          <w:rFonts w:hint="eastAsia" w:ascii="Times New Roman" w:hAnsi="Times New Roman" w:eastAsia="宋体"/>
          <w:b w:val="0"/>
          <w:bCs w:val="0"/>
          <w:sz w:val="21"/>
          <w:szCs w:val="21"/>
          <w:highlight w:val="none"/>
        </w:rPr>
        <w:t>电针对慢性阻塞性肺疾病大鼠肺组织自噬相关蛋白表达的影响</w:t>
      </w:r>
      <w:r>
        <w:rPr>
          <w:rFonts w:hint="eastAsia" w:ascii="Times New Roman" w:hAnsi="Times New Roman" w:eastAsia="宋体"/>
          <w:b w:val="0"/>
          <w:bCs w:val="0"/>
          <w:sz w:val="21"/>
          <w:szCs w:val="21"/>
          <w:highlight w:val="none"/>
          <w:lang w:val="en-US" w:eastAsia="zh-CN"/>
        </w:rPr>
        <w:t>[J].针刺研究. 2021,46(4):266-272.</w:t>
      </w:r>
    </w:p>
    <w:p w14:paraId="2444388C">
      <w:pPr>
        <w:keepNext w:val="0"/>
        <w:keepLines w:val="0"/>
        <w:pageBreakBefore w:val="0"/>
        <w:widowControl w:val="0"/>
        <w:numPr>
          <w:ilvl w:val="0"/>
          <w:numId w:val="1"/>
        </w:numPr>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b w:val="0"/>
          <w:bCs w:val="0"/>
          <w:sz w:val="21"/>
          <w:szCs w:val="21"/>
          <w:highlight w:val="none"/>
          <w:lang w:val="en-US" w:eastAsia="zh-CN"/>
        </w:rPr>
      </w:pPr>
      <w:r>
        <w:rPr>
          <w:rFonts w:hint="eastAsia" w:ascii="Times New Roman" w:hAnsi="Times New Roman" w:eastAsia="宋体"/>
          <w:b w:val="0"/>
          <w:bCs w:val="0"/>
          <w:sz w:val="21"/>
          <w:szCs w:val="21"/>
          <w:highlight w:val="none"/>
          <w:lang w:val="en-US" w:eastAsia="zh-CN"/>
        </w:rPr>
        <w:t>吴慧慧，潘祝，刘海燕，张新芳，项水英，徐淑文，刘文美，张玉洁，刘自兵（通讯）．电针调控 miR-19b-3p 表达介导 SOCS3/JAK1/STAT3 信号通路改善慢性阻塞性肺疾病小鼠肺部炎性反应[J].针刺研究，2024,49(12):1248-1256.</w:t>
      </w:r>
    </w:p>
    <w:p w14:paraId="6162A52B">
      <w:pPr>
        <w:keepNext w:val="0"/>
        <w:keepLines w:val="0"/>
        <w:pageBreakBefore w:val="0"/>
        <w:widowControl w:val="0"/>
        <w:numPr>
          <w:ilvl w:val="0"/>
          <w:numId w:val="0"/>
        </w:numPr>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b/>
          <w:bCs/>
          <w:sz w:val="24"/>
          <w:szCs w:val="24"/>
          <w:highlight w:val="none"/>
          <w:lang w:val="en-US" w:eastAsia="zh-CN"/>
        </w:rPr>
      </w:pPr>
      <w:r>
        <w:rPr>
          <w:rFonts w:hint="eastAsia" w:ascii="Times New Roman" w:hAnsi="Times New Roman" w:eastAsia="宋体"/>
          <w:b/>
          <w:bCs/>
          <w:sz w:val="24"/>
          <w:szCs w:val="24"/>
          <w:highlight w:val="none"/>
          <w:lang w:val="en-US" w:eastAsia="zh-CN"/>
        </w:rPr>
        <w:t>主要完成人：</w:t>
      </w:r>
    </w:p>
    <w:p w14:paraId="06A6EB9C">
      <w:pPr>
        <w:keepNext w:val="0"/>
        <w:keepLines w:val="0"/>
        <w:pageBreakBefore w:val="0"/>
        <w:widowControl w:val="0"/>
        <w:numPr>
          <w:ilvl w:val="0"/>
          <w:numId w:val="0"/>
        </w:numPr>
        <w:kinsoku/>
        <w:wordWrap/>
        <w:overflowPunct/>
        <w:topLinePunct w:val="0"/>
        <w:autoSpaceDE/>
        <w:autoSpaceDN/>
        <w:bidi w:val="0"/>
        <w:adjustRightInd/>
        <w:spacing w:line="400" w:lineRule="exact"/>
        <w:ind w:right="105" w:rightChars="50"/>
        <w:textAlignment w:val="auto"/>
        <w:outlineLvl w:val="9"/>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lang w:eastAsia="zh-CN"/>
        </w:rPr>
        <w:t>刘自兵，张新芳，张洁，</w:t>
      </w:r>
      <w:r>
        <w:rPr>
          <w:rFonts w:hint="eastAsia" w:ascii="Times New Roman" w:hAnsi="Times New Roman" w:eastAsia="宋体" w:cs="Times New Roman"/>
          <w:b w:val="0"/>
          <w:bCs/>
          <w:color w:val="auto"/>
          <w:sz w:val="21"/>
          <w:szCs w:val="21"/>
          <w:highlight w:val="none"/>
          <w:lang w:eastAsia="zh-CN"/>
        </w:rPr>
        <w:t>项水英，徐淑文</w:t>
      </w:r>
    </w:p>
    <w:p w14:paraId="745F47D5">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b/>
          <w:bCs/>
          <w:lang w:eastAsia="zh-CN"/>
        </w:rPr>
        <w:t>主要完成单位</w:t>
      </w:r>
      <w:r>
        <w:rPr>
          <w:rFonts w:hint="eastAsia"/>
          <w:lang w:eastAsia="zh-CN"/>
        </w:rPr>
        <w:t>：</w:t>
      </w:r>
    </w:p>
    <w:p w14:paraId="6500E94B">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lang w:eastAsia="zh-CN"/>
        </w:rPr>
        <w:t>第一完成单位：安徽中医药大学</w:t>
      </w:r>
    </w:p>
    <w:p w14:paraId="4EB76E4F">
      <w:pPr>
        <w:keepNext w:val="0"/>
        <w:keepLines w:val="0"/>
        <w:pageBreakBefore w:val="0"/>
        <w:widowControl w:val="0"/>
        <w:kinsoku/>
        <w:wordWrap/>
        <w:overflowPunct/>
        <w:topLinePunct w:val="0"/>
        <w:autoSpaceDE/>
        <w:autoSpaceDN/>
        <w:bidi w:val="0"/>
        <w:adjustRightInd/>
        <w:spacing w:line="400" w:lineRule="exact"/>
        <w:textAlignment w:val="auto"/>
        <w:outlineLvl w:val="9"/>
        <w:rPr>
          <w:rFonts w:hint="eastAsia"/>
          <w:lang w:eastAsia="zh-CN"/>
        </w:rPr>
      </w:pPr>
      <w:r>
        <w:rPr>
          <w:rFonts w:hint="eastAsia"/>
          <w:lang w:eastAsia="zh-CN"/>
        </w:rPr>
        <w:t>第二完成单位：南通大学</w:t>
      </w:r>
    </w:p>
    <w:p w14:paraId="2E77F135">
      <w:pPr>
        <w:numPr>
          <w:ilvl w:val="0"/>
          <w:numId w:val="0"/>
        </w:numPr>
        <w:spacing w:line="360" w:lineRule="auto"/>
        <w:ind w:right="105" w:rightChars="50"/>
        <w:rPr>
          <w:rFonts w:hint="eastAsia" w:ascii="Times New Roman" w:hAnsi="Times New Roman" w:eastAsia="宋体" w:cs="Times New Roman"/>
          <w:b w:val="0"/>
          <w:bCs/>
          <w:color w:val="auto"/>
          <w:sz w:val="21"/>
          <w:szCs w:val="21"/>
          <w:highlight w:val="none"/>
          <w:lang w:val="en-US" w:eastAsia="zh-CN"/>
        </w:rPr>
      </w:pPr>
    </w:p>
    <w:p w14:paraId="1EA938DA">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CCCDF8"/>
    <w:multiLevelType w:val="singleLevel"/>
    <w:tmpl w:val="F5CCCDF8"/>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FE5886"/>
    <w:rsid w:val="05F05F0D"/>
    <w:rsid w:val="229E12E3"/>
    <w:rsid w:val="27736732"/>
    <w:rsid w:val="2C4A3109"/>
    <w:rsid w:val="32670A22"/>
    <w:rsid w:val="3E0A32AC"/>
    <w:rsid w:val="50834E04"/>
    <w:rsid w:val="52952640"/>
    <w:rsid w:val="5CC37416"/>
    <w:rsid w:val="5D494B2D"/>
    <w:rsid w:val="64B967A9"/>
    <w:rsid w:val="65FE5886"/>
    <w:rsid w:val="6BDE4B3D"/>
    <w:rsid w:val="6EC678BA"/>
    <w:rsid w:val="7A3613F9"/>
    <w:rsid w:val="7F1E7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THUV2-32HH7-6NMHN-PTX7Y-QQCTH</Company>
  <Pages>3</Pages>
  <Words>1943</Words>
  <Characters>2809</Characters>
  <Lines>0</Lines>
  <Paragraphs>0</Paragraphs>
  <TotalTime>6</TotalTime>
  <ScaleCrop>false</ScaleCrop>
  <LinksUpToDate>false</LinksUpToDate>
  <CharactersWithSpaces>2894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2024-01-27T01:10:00Z</dcterms:created>
  <dc:creator>zibingliu</dc:creator>
  <cp:lastModifiedBy>谭伟</cp:lastModifiedBy>
  <dcterms:modified xsi:type="dcterms:W3CDTF">2026-09-14T07:46:18Z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FE405BFE79174B05B31545231C5BD995_13</vt:lpwstr>
  </property>
</Properties>
</file>