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7EF88">
      <w:pPr>
        <w:jc w:val="center"/>
        <w:rPr>
          <w:rFonts w:cs="宋体"/>
          <w:b/>
          <w:bCs/>
        </w:rPr>
      </w:pPr>
      <w:bookmarkStart w:id="0" w:name="OLE_LINK3"/>
      <w:r>
        <w:rPr>
          <w:rFonts w:hint="eastAsia" w:ascii="宋体" w:hAnsi="宋体"/>
          <w:b/>
          <w:color w:val="0D0D0D"/>
          <w:spacing w:val="2"/>
          <w:sz w:val="28"/>
          <w:szCs w:val="28"/>
        </w:rPr>
        <w:t>202</w:t>
      </w:r>
      <w:r>
        <w:rPr>
          <w:rFonts w:ascii="宋体" w:hAnsi="宋体"/>
          <w:b/>
          <w:color w:val="0D0D0D"/>
          <w:spacing w:val="2"/>
          <w:sz w:val="28"/>
          <w:szCs w:val="28"/>
        </w:rPr>
        <w:t>4</w:t>
      </w:r>
      <w:r>
        <w:rPr>
          <w:rFonts w:hint="eastAsia" w:ascii="宋体" w:hAnsi="宋体"/>
          <w:b/>
          <w:color w:val="0D0D0D"/>
          <w:spacing w:val="2"/>
          <w:sz w:val="28"/>
          <w:szCs w:val="28"/>
        </w:rPr>
        <w:t>年度</w:t>
      </w:r>
      <w:bookmarkStart w:id="1" w:name="_Hlk198559820"/>
      <w:r>
        <w:rPr>
          <w:rFonts w:hint="eastAsia" w:ascii="宋体" w:hAnsi="宋体"/>
          <w:b/>
          <w:color w:val="0D0D0D"/>
          <w:spacing w:val="2"/>
          <w:sz w:val="28"/>
          <w:szCs w:val="28"/>
        </w:rPr>
        <w:t>江苏省科学技术奖提名项目</w:t>
      </w:r>
      <w:bookmarkEnd w:id="1"/>
      <w:r>
        <w:rPr>
          <w:rFonts w:hint="eastAsia" w:ascii="宋体" w:hAnsi="宋体"/>
          <w:b/>
          <w:color w:val="0D0D0D"/>
          <w:spacing w:val="2"/>
          <w:sz w:val="28"/>
          <w:szCs w:val="28"/>
        </w:rPr>
        <w:t>公示</w:t>
      </w:r>
      <w:bookmarkEnd w:id="0"/>
    </w:p>
    <w:p w14:paraId="17176CEA">
      <w:pPr>
        <w:jc w:val="left"/>
        <w:rPr>
          <w:rFonts w:cs="宋体"/>
          <w:b/>
          <w:bCs/>
        </w:rPr>
      </w:pPr>
    </w:p>
    <w:p w14:paraId="5B003FE8">
      <w:pPr>
        <w:jc w:val="left"/>
        <w:rPr>
          <w:rFonts w:hint="eastAsia" w:cs="宋体"/>
          <w:b/>
          <w:bCs/>
        </w:rPr>
      </w:pPr>
      <w:r>
        <w:rPr>
          <w:rFonts w:hint="eastAsia" w:cs="宋体"/>
          <w:b/>
          <w:bCs/>
        </w:rPr>
        <w:t>项目名称：致盲性年龄相关性眼病诊疗体系的建立及关键机制研究</w:t>
      </w:r>
    </w:p>
    <w:p w14:paraId="764A54F6">
      <w:pPr>
        <w:jc w:val="left"/>
        <w:rPr>
          <w:rFonts w:hint="eastAsia"/>
          <w:b/>
          <w:bCs/>
        </w:rPr>
      </w:pPr>
      <w:r>
        <w:rPr>
          <w:rFonts w:hint="eastAsia"/>
          <w:b/>
          <w:bCs/>
        </w:rPr>
        <w:t>所有完成人：管怀进，季敏，康丽华，张国伟，唐波，张鲁中，王俊，金珠，徐绘</w:t>
      </w:r>
    </w:p>
    <w:p w14:paraId="4AD8AFDE">
      <w:pPr>
        <w:jc w:val="left"/>
        <w:rPr>
          <w:rFonts w:hint="eastAsia" w:eastAsia="宋体"/>
          <w:lang w:eastAsia="zh-CN"/>
        </w:rPr>
      </w:pPr>
      <w:r>
        <w:rPr>
          <w:rFonts w:hint="eastAsia"/>
          <w:b/>
          <w:bCs/>
        </w:rPr>
        <w:t>所有完成单位：南通大学附属医院；南通大学；上海麦索照明设计咨询有限公司</w:t>
      </w:r>
    </w:p>
    <w:p w14:paraId="581D5F16"/>
    <w:p w14:paraId="6E40337A">
      <w:pPr>
        <w:pStyle w:val="8"/>
        <w:spacing w:before="1"/>
        <w:ind w:left="14" w:leftChars="0" w:firstLine="405" w:firstLineChars="193"/>
        <w:rPr>
          <w:rFonts w:hint="eastAsia"/>
        </w:rPr>
      </w:pPr>
      <w:r>
        <w:rPr>
          <w:rFonts w:hint="eastAsia"/>
        </w:rPr>
        <w:t>项目简介：</w:t>
      </w:r>
    </w:p>
    <w:p w14:paraId="62166AAB">
      <w:pPr>
        <w:pStyle w:val="8"/>
        <w:spacing w:before="1"/>
        <w:ind w:left="14" w:leftChars="0" w:firstLine="405" w:firstLineChars="193"/>
        <w:rPr>
          <w:rFonts w:ascii="宋体" w:hAnsi="宋体" w:eastAsia="宋体"/>
          <w:sz w:val="21"/>
          <w:szCs w:val="21"/>
        </w:rPr>
      </w:pPr>
      <w:r>
        <w:rPr>
          <w:rFonts w:hint="eastAsia" w:ascii="宋体" w:hAnsi="宋体" w:eastAsia="宋体"/>
          <w:sz w:val="21"/>
          <w:szCs w:val="21"/>
        </w:rPr>
        <w:t>致盲性年龄相关性眼病，包含白内障、青光眼、糖尿病性视网膜病变等约占我国致盲病例的60%，</w:t>
      </w:r>
      <w:r>
        <w:rPr>
          <w:rFonts w:ascii="宋体" w:hAnsi="宋体" w:eastAsia="宋体"/>
          <w:sz w:val="21"/>
          <w:szCs w:val="21"/>
        </w:rPr>
        <w:t>数以千万计的白内障盲造成家庭和社会的巨大经济负担，是我国急需解决的重大公共卫生问题，也是我国《 防盲与眼健康规划》 重点要防治的眼病。</w:t>
      </w:r>
      <w:r>
        <w:rPr>
          <w:rFonts w:hint="eastAsia" w:ascii="宋体" w:hAnsi="宋体" w:eastAsia="宋体"/>
          <w:sz w:val="21"/>
          <w:szCs w:val="21"/>
          <w:lang w:val="en-US" w:eastAsia="zh-CN"/>
        </w:rPr>
        <w:t>对于以上致盲性年龄相关性眼病，</w:t>
      </w:r>
      <w:r>
        <w:rPr>
          <w:rFonts w:ascii="宋体" w:hAnsi="宋体" w:eastAsia="宋体"/>
          <w:sz w:val="21"/>
          <w:szCs w:val="21"/>
        </w:rPr>
        <w:t>手术治疗是目前公认</w:t>
      </w:r>
      <w:r>
        <w:rPr>
          <w:rFonts w:hint="eastAsia" w:ascii="宋体" w:hAnsi="宋体" w:eastAsia="宋体"/>
          <w:sz w:val="21"/>
          <w:szCs w:val="21"/>
          <w:lang w:val="en-US" w:eastAsia="zh-CN"/>
        </w:rPr>
        <w:t>较为</w:t>
      </w:r>
      <w:r>
        <w:rPr>
          <w:rFonts w:ascii="宋体" w:hAnsi="宋体" w:eastAsia="宋体"/>
          <w:sz w:val="21"/>
          <w:szCs w:val="21"/>
        </w:rPr>
        <w:t>有效的治疗方法</w:t>
      </w:r>
      <w:r>
        <w:rPr>
          <w:rFonts w:hint="eastAsia" w:ascii="宋体" w:hAnsi="宋体" w:eastAsia="宋体"/>
          <w:sz w:val="21"/>
          <w:szCs w:val="21"/>
          <w:lang w:eastAsia="zh-CN"/>
        </w:rPr>
        <w:t>，但是术后视力改善不良、干眼等发生率高居不下，</w:t>
      </w:r>
      <w:r>
        <w:rPr>
          <w:rFonts w:ascii="宋体" w:hAnsi="宋体" w:eastAsia="宋体"/>
          <w:sz w:val="21"/>
          <w:szCs w:val="21"/>
        </w:rPr>
        <w:t>精准有效的药物治疗仍然是患者和医生的共同目标。因此研究</w:t>
      </w:r>
      <w:r>
        <w:rPr>
          <w:rFonts w:hint="eastAsia" w:ascii="宋体" w:hAnsi="宋体" w:eastAsia="宋体"/>
          <w:sz w:val="21"/>
          <w:szCs w:val="21"/>
        </w:rPr>
        <w:t>致盲性年龄相关性眼病</w:t>
      </w:r>
      <w:r>
        <w:rPr>
          <w:rFonts w:ascii="宋体" w:hAnsi="宋体" w:eastAsia="宋体"/>
          <w:sz w:val="21"/>
          <w:szCs w:val="21"/>
        </w:rPr>
        <w:t>确切病因机制，寻找特征性靶点分子，用于指导</w:t>
      </w:r>
      <w:r>
        <w:rPr>
          <w:rFonts w:hint="eastAsia" w:ascii="宋体" w:hAnsi="宋体" w:eastAsia="宋体"/>
          <w:sz w:val="21"/>
          <w:szCs w:val="21"/>
        </w:rPr>
        <w:t>致盲性年龄相关性眼病</w:t>
      </w:r>
      <w:r>
        <w:rPr>
          <w:rFonts w:ascii="宋体" w:hAnsi="宋体" w:eastAsia="宋体"/>
          <w:sz w:val="21"/>
          <w:szCs w:val="21"/>
        </w:rPr>
        <w:t>治疗的药物开发，对于解决</w:t>
      </w:r>
      <w:r>
        <w:rPr>
          <w:rFonts w:hint="eastAsia" w:ascii="宋体" w:hAnsi="宋体" w:eastAsia="宋体"/>
          <w:sz w:val="21"/>
          <w:szCs w:val="21"/>
        </w:rPr>
        <w:t>致盲性年龄相关性眼病</w:t>
      </w:r>
      <w:r>
        <w:rPr>
          <w:rFonts w:ascii="宋体" w:hAnsi="宋体" w:eastAsia="宋体"/>
          <w:sz w:val="21"/>
          <w:szCs w:val="21"/>
        </w:rPr>
        <w:t>的药物防治这一瓶颈核心科</w:t>
      </w:r>
      <w:r>
        <w:rPr>
          <w:rFonts w:hint="eastAsia" w:ascii="宋体" w:hAnsi="宋体" w:eastAsia="宋体"/>
          <w:sz w:val="21"/>
          <w:szCs w:val="21"/>
        </w:rPr>
        <w:t>学问题具有重要意义。</w:t>
      </w:r>
      <w:r>
        <w:rPr>
          <w:rFonts w:ascii="宋体" w:hAnsi="宋体" w:eastAsia="宋体"/>
          <w:sz w:val="21"/>
          <w:szCs w:val="21"/>
        </w:rPr>
        <w:br w:type="textWrapping"/>
      </w:r>
      <w:r>
        <w:rPr>
          <w:rFonts w:ascii="宋体" w:hAnsi="宋体" w:eastAsia="宋体"/>
          <w:sz w:val="21"/>
          <w:szCs w:val="21"/>
        </w:rPr>
        <w:t xml:space="preserve">   本研究自2010年1月1日起，在国家自然科学基金（81974129</w:t>
      </w:r>
      <w:r>
        <w:rPr>
          <w:rFonts w:hint="eastAsia"/>
          <w:sz w:val="21"/>
          <w:szCs w:val="21"/>
          <w:lang w:val="en-US" w:eastAsia="zh-CN"/>
        </w:rPr>
        <w:t>等</w:t>
      </w:r>
      <w:r>
        <w:rPr>
          <w:rFonts w:ascii="宋体" w:hAnsi="宋体" w:eastAsia="宋体"/>
          <w:sz w:val="21"/>
          <w:szCs w:val="21"/>
        </w:rPr>
        <w:t>）、国家卫生计生委医院管理项目（2006141</w:t>
      </w:r>
      <w:r>
        <w:rPr>
          <w:rFonts w:hint="eastAsia"/>
          <w:sz w:val="21"/>
          <w:szCs w:val="21"/>
          <w:lang w:val="en-US" w:eastAsia="zh-CN"/>
        </w:rPr>
        <w:t>等</w:t>
      </w:r>
      <w:r>
        <w:rPr>
          <w:rFonts w:ascii="宋体" w:hAnsi="宋体" w:eastAsia="宋体"/>
          <w:sz w:val="21"/>
          <w:szCs w:val="21"/>
        </w:rPr>
        <w:t>）、江苏省社会发展重点研发项目（BE2016669）以及多项南通市科技项目等项目资助下，本课题组开展了一系列研究，具体成果如下：</w:t>
      </w:r>
      <w:r>
        <w:rPr>
          <w:rFonts w:ascii="宋体" w:hAnsi="宋体" w:eastAsia="宋体"/>
          <w:sz w:val="21"/>
          <w:szCs w:val="21"/>
        </w:rPr>
        <w:br w:type="textWrapping"/>
      </w:r>
      <w:r>
        <w:rPr>
          <w:rFonts w:hint="eastAsia"/>
          <w:sz w:val="21"/>
          <w:szCs w:val="21"/>
          <w:lang w:val="en-US" w:eastAsia="zh-CN"/>
        </w:rPr>
        <w:t xml:space="preserve">   </w:t>
      </w:r>
      <w:r>
        <w:rPr>
          <w:rFonts w:ascii="宋体" w:hAnsi="宋体" w:eastAsia="宋体"/>
          <w:sz w:val="21"/>
          <w:szCs w:val="21"/>
        </w:rPr>
        <w:t>1、样本资料来源于人群队列研究。在国内率先利用国际标准化流行病学调查方法，在苏南、苏中及苏北地区规</w:t>
      </w:r>
      <w:r>
        <w:rPr>
          <w:rFonts w:hint="eastAsia" w:ascii="宋体" w:hAnsi="宋体" w:eastAsia="宋体"/>
          <w:sz w:val="21"/>
          <w:szCs w:val="21"/>
        </w:rPr>
        <w:t>范化抽样，通过严格的队列研究对江苏省</w:t>
      </w:r>
      <w:r>
        <w:rPr>
          <w:rFonts w:ascii="宋体" w:hAnsi="宋体" w:eastAsia="宋体"/>
          <w:sz w:val="21"/>
          <w:szCs w:val="21"/>
        </w:rPr>
        <w:t>50岁及以上人群进行了包括白内障</w:t>
      </w:r>
      <w:r>
        <w:rPr>
          <w:rFonts w:hint="eastAsia" w:ascii="宋体" w:hAnsi="宋体" w:eastAsia="宋体"/>
          <w:sz w:val="21"/>
          <w:szCs w:val="21"/>
          <w:lang w:eastAsia="zh-CN"/>
        </w:rPr>
        <w:t>、</w:t>
      </w:r>
      <w:r>
        <w:rPr>
          <w:rFonts w:hint="eastAsia" w:ascii="宋体" w:hAnsi="宋体" w:eastAsia="宋体"/>
          <w:sz w:val="21"/>
          <w:szCs w:val="21"/>
          <w:lang w:val="en-US" w:eastAsia="zh-CN"/>
        </w:rPr>
        <w:t>青光眼、糖尿病性视网膜病变</w:t>
      </w:r>
      <w:r>
        <w:rPr>
          <w:rFonts w:ascii="宋体" w:hAnsi="宋体" w:eastAsia="宋体"/>
          <w:sz w:val="21"/>
          <w:szCs w:val="21"/>
        </w:rPr>
        <w:t>在内的致盲性眼病的研究，获得该地区白内障临床流行病学资料，同时我们抽取了35000余例受检人员全血，建立了宝贵的江苏眼病人群生物样本库，这是后续分子流行病学确定白内障</w:t>
      </w:r>
      <w:r>
        <w:rPr>
          <w:rFonts w:hint="eastAsia" w:ascii="宋体" w:hAnsi="宋体" w:eastAsia="宋体"/>
          <w:sz w:val="21"/>
          <w:szCs w:val="21"/>
          <w:lang w:eastAsia="zh-CN"/>
        </w:rPr>
        <w:t>、</w:t>
      </w:r>
      <w:r>
        <w:rPr>
          <w:rFonts w:hint="eastAsia" w:ascii="宋体" w:hAnsi="宋体" w:eastAsia="宋体"/>
          <w:sz w:val="21"/>
          <w:szCs w:val="21"/>
          <w:lang w:val="en-US" w:eastAsia="zh-CN"/>
        </w:rPr>
        <w:t>青光眼、糖尿病性视网膜病变</w:t>
      </w:r>
      <w:r>
        <w:rPr>
          <w:rFonts w:ascii="宋体" w:hAnsi="宋体" w:eastAsia="宋体"/>
          <w:sz w:val="21"/>
          <w:szCs w:val="21"/>
        </w:rPr>
        <w:t>相关基因分子及其精准调控研究的坚实基础。</w:t>
      </w:r>
    </w:p>
    <w:p w14:paraId="0365DBE3">
      <w:pPr>
        <w:pStyle w:val="8"/>
        <w:numPr>
          <w:ilvl w:val="0"/>
          <w:numId w:val="1"/>
        </w:numPr>
        <w:spacing w:before="1"/>
        <w:ind w:left="0" w:leftChars="0" w:firstLine="336" w:firstLineChars="160"/>
        <w:rPr>
          <w:rFonts w:hint="eastAsia" w:ascii="宋体" w:hAnsi="宋体" w:eastAsia="宋体"/>
          <w:sz w:val="21"/>
          <w:szCs w:val="21"/>
          <w:lang w:val="en-US" w:eastAsia="zh-CN"/>
        </w:rPr>
      </w:pPr>
      <w:r>
        <w:rPr>
          <w:rFonts w:hint="eastAsia" w:ascii="宋体" w:hAnsi="宋体" w:eastAsia="宋体"/>
          <w:sz w:val="21"/>
          <w:szCs w:val="21"/>
          <w:lang w:val="en-US" w:eastAsia="zh-CN"/>
        </w:rPr>
        <w:t>确定了白内障相关致病性氧化损伤基因的突变位点和调控的关键靶分子。运用实时荧光检测氧化损伤基因相关位点的基因型，分析单核苷酸多态性、拷贝数变异等差异，发现了氧化损伤蛋白基因，如OGG1、HIF-1以及WRN的基因多态性在年龄相关性白内障（ARC）发生发展中的作用，并进一步在斑马鱼白内障模型上验证了OGG1和GST在白内障发生中的关键作用。</w:t>
      </w:r>
      <w:r>
        <w:rPr>
          <w:rFonts w:hint="eastAsia"/>
          <w:sz w:val="21"/>
          <w:szCs w:val="21"/>
          <w:lang w:val="en-US" w:eastAsia="zh-CN"/>
        </w:rPr>
        <w:t>进一步</w:t>
      </w:r>
      <w:r>
        <w:rPr>
          <w:rFonts w:hint="eastAsia" w:ascii="宋体" w:hAnsi="宋体" w:eastAsia="宋体"/>
          <w:sz w:val="21"/>
          <w:szCs w:val="21"/>
          <w:lang w:val="en-US" w:eastAsia="zh-CN"/>
        </w:rPr>
        <w:t>通过分子生物学方法，发现HDAC1、lncRNA以及多种microRNA分子对上述氧化损伤修复基因具有调控作用，并从中筛选出lncRNA H19</w:t>
      </w:r>
      <w:r>
        <w:rPr>
          <w:rFonts w:hint="eastAsia"/>
          <w:sz w:val="21"/>
          <w:szCs w:val="21"/>
          <w:lang w:val="en-US" w:eastAsia="zh-CN"/>
        </w:rPr>
        <w:t>等</w:t>
      </w:r>
      <w:r>
        <w:rPr>
          <w:rFonts w:hint="eastAsia" w:ascii="宋体" w:hAnsi="宋体" w:eastAsia="宋体"/>
          <w:sz w:val="21"/>
          <w:szCs w:val="21"/>
          <w:lang w:val="en-US" w:eastAsia="zh-CN"/>
        </w:rPr>
        <w:t>对ERCC6</w:t>
      </w:r>
      <w:r>
        <w:rPr>
          <w:rFonts w:hint="eastAsia"/>
          <w:sz w:val="21"/>
          <w:szCs w:val="21"/>
          <w:lang w:val="en-US" w:eastAsia="zh-CN"/>
        </w:rPr>
        <w:t>、</w:t>
      </w:r>
      <w:r>
        <w:rPr>
          <w:rFonts w:hint="eastAsia" w:ascii="宋体" w:hAnsi="宋体" w:eastAsia="宋体"/>
          <w:sz w:val="21"/>
          <w:szCs w:val="21"/>
          <w:lang w:val="en-US" w:eastAsia="zh-CN"/>
        </w:rPr>
        <w:t>OGG1</w:t>
      </w:r>
      <w:r>
        <w:rPr>
          <w:rFonts w:hint="eastAsia"/>
          <w:sz w:val="21"/>
          <w:szCs w:val="21"/>
          <w:lang w:val="en-US" w:eastAsia="zh-CN"/>
        </w:rPr>
        <w:t>等</w:t>
      </w:r>
      <w:r>
        <w:rPr>
          <w:rFonts w:hint="eastAsia" w:ascii="宋体" w:hAnsi="宋体" w:eastAsia="宋体"/>
          <w:sz w:val="21"/>
          <w:szCs w:val="21"/>
          <w:lang w:val="en-US" w:eastAsia="zh-CN"/>
        </w:rPr>
        <w:t>基因表达调控起关键作用，可作为白内障相关氧化损伤基因精准调控的关键靶分子，为后续临床转换提供了坚实可靠的基础。</w:t>
      </w:r>
    </w:p>
    <w:p w14:paraId="469672D1">
      <w:pPr>
        <w:pStyle w:val="8"/>
        <w:numPr>
          <w:ilvl w:val="0"/>
          <w:numId w:val="1"/>
        </w:numPr>
        <w:spacing w:before="1"/>
        <w:ind w:left="14" w:leftChars="0" w:firstLine="405" w:firstLineChars="193"/>
        <w:rPr>
          <w:rFonts w:hint="eastAsia" w:ascii="宋体" w:hAnsi="宋体" w:eastAsia="宋体"/>
          <w:sz w:val="21"/>
          <w:szCs w:val="21"/>
          <w:lang w:val="en-US" w:eastAsia="zh-CN"/>
        </w:rPr>
      </w:pPr>
      <w:r>
        <w:rPr>
          <w:rFonts w:hint="eastAsia"/>
          <w:sz w:val="21"/>
          <w:szCs w:val="21"/>
          <w:lang w:val="en-US" w:eastAsia="zh-CN"/>
        </w:rPr>
        <w:t>确定了青光眼相关致病基因的突变位点和调控的关键靶分子。通过全基因组关联研究 鉴定的原发性闭角型青光眼易感基因座的8个单核苷酸多态性进行基因分型，发现PLEKHA7、CHAT等</w:t>
      </w:r>
      <w:r>
        <w:rPr>
          <w:rFonts w:hint="eastAsia" w:ascii="宋体" w:hAnsi="宋体" w:eastAsia="宋体"/>
          <w:sz w:val="21"/>
          <w:szCs w:val="21"/>
          <w:lang w:val="en-US" w:eastAsia="zh-CN"/>
        </w:rPr>
        <w:t>在</w:t>
      </w:r>
      <w:r>
        <w:rPr>
          <w:rFonts w:hint="eastAsia"/>
          <w:sz w:val="21"/>
          <w:szCs w:val="21"/>
          <w:lang w:val="en-US" w:eastAsia="zh-CN"/>
        </w:rPr>
        <w:t>PACG</w:t>
      </w:r>
      <w:r>
        <w:rPr>
          <w:rFonts w:hint="eastAsia" w:ascii="宋体" w:hAnsi="宋体" w:eastAsia="宋体"/>
          <w:sz w:val="21"/>
          <w:szCs w:val="21"/>
          <w:lang w:val="en-US" w:eastAsia="zh-CN"/>
        </w:rPr>
        <w:t>发生中的关键作用</w:t>
      </w:r>
      <w:r>
        <w:rPr>
          <w:rFonts w:hint="eastAsia"/>
          <w:sz w:val="21"/>
          <w:szCs w:val="21"/>
          <w:lang w:val="en-US" w:eastAsia="zh-CN"/>
        </w:rPr>
        <w:t>；采用Sanger对原发性开角型青光眼家系112名成员进行测序发现，有14名家庭成员的MYOC基因中存在一个杂合突变。通过研究衰老相关蛋白、线粒自噬相关蛋白的表达以及衰老相关的分泌表型，明确ATP-P2X7R通路介导的视网膜小胶质细胞衰老在青光眼RGC损伤中的作用及分子机制，为研究青光眼及衰老的免疫和靶向治疗提供研究基础。</w:t>
      </w:r>
    </w:p>
    <w:p w14:paraId="2A89EEBF"/>
    <w:p w14:paraId="47BBF4ED"/>
    <w:p w14:paraId="41D08562">
      <w:pPr>
        <w:ind w:firstLine="420" w:firstLineChars="200"/>
      </w:pPr>
    </w:p>
    <w:p w14:paraId="18EC3828"/>
    <w:p w14:paraId="6550B5AC">
      <w:r>
        <w:rPr>
          <w:rFonts w:hint="eastAsia"/>
        </w:rPr>
        <w:t>代表性论文论著目录</w:t>
      </w:r>
    </w:p>
    <w:p w14:paraId="6CD20167">
      <w:pPr>
        <w:numPr>
          <w:ilvl w:val="0"/>
          <w:numId w:val="2"/>
        </w:numPr>
      </w:pPr>
      <w:r>
        <w:rPr>
          <w:rFonts w:hint="eastAsia"/>
        </w:rPr>
        <w:t>中华医学会眼科学分会白内障及人工晶状体学组, 中国糖尿病患者白内障围手术期管理策略专家共识(2020年).中华眼科杂志,2020,56 (5): 337-342.</w:t>
      </w:r>
    </w:p>
    <w:p w14:paraId="47C76325">
      <w:pPr>
        <w:numPr>
          <w:ilvl w:val="0"/>
          <w:numId w:val="2"/>
        </w:numPr>
        <w:rPr>
          <w:rFonts w:hint="eastAsia"/>
        </w:rPr>
      </w:pPr>
      <w:r>
        <w:rPr>
          <w:rFonts w:hint="eastAsia"/>
        </w:rPr>
        <w:t>康丽华;张国伟;朱曦;管怀进;季敏; 一种用于白内障手术的角膜润湿设备，专利类型：发明，专利号：2024111658780</w:t>
      </w:r>
    </w:p>
    <w:p w14:paraId="4E1CB0B5">
      <w:pPr>
        <w:numPr>
          <w:ilvl w:val="0"/>
          <w:numId w:val="2"/>
        </w:numPr>
        <w:rPr>
          <w:rFonts w:hint="eastAsia"/>
        </w:rPr>
      </w:pPr>
      <w:r>
        <w:rPr>
          <w:rFonts w:hint="eastAsia"/>
        </w:rPr>
        <w:t>张鲁中;姚珂;杨宇民;李贵才;王钰清;傅泽茜; 载有生物活性物质的聚(β-氨基酯)药物输送体系及其制备方法，专利类型：发明，专利号：201911088098X</w:t>
      </w:r>
    </w:p>
    <w:p w14:paraId="47A60078">
      <w:pPr>
        <w:numPr>
          <w:ilvl w:val="0"/>
          <w:numId w:val="2"/>
        </w:numPr>
        <w:rPr>
          <w:rFonts w:hint="eastAsia"/>
        </w:rPr>
      </w:pPr>
      <w:r>
        <w:rPr>
          <w:rFonts w:hint="eastAsia"/>
        </w:rPr>
        <w:t>金珠; 一种建筑照明装置及使用方法，专利类型：发明，专利号：2022101778039</w:t>
      </w:r>
    </w:p>
    <w:p w14:paraId="2D29F6D0">
      <w:pPr>
        <w:numPr>
          <w:ilvl w:val="0"/>
          <w:numId w:val="2"/>
        </w:numPr>
        <w:rPr>
          <w:rFonts w:hint="eastAsia"/>
        </w:rPr>
      </w:pPr>
      <w:r>
        <w:rPr>
          <w:rFonts w:hint="eastAsia"/>
        </w:rPr>
        <w:t>王俊；一种可旋转水韵灯，专利类型：发明，专利号：2018101971006</w:t>
      </w:r>
    </w:p>
    <w:p w14:paraId="41F08809">
      <w:pPr>
        <w:numPr>
          <w:ilvl w:val="0"/>
          <w:numId w:val="2"/>
        </w:numPr>
        <w:rPr>
          <w:rFonts w:hint="eastAsia"/>
        </w:rPr>
      </w:pPr>
      <w:r>
        <w:rPr>
          <w:rFonts w:hint="eastAsia"/>
        </w:rPr>
        <w:t>Fang G; Wang Q; Yang X; Qian Y; Zhang Gi; Tang B; γ-Cyclodextrin-based polypseudorotaxane hydrogels for ophthalmic delivery of flurbiprofen to treat anterior uveitis, Carbohydrate Polymers, 2022, 277: 118889</w:t>
      </w:r>
      <w:r>
        <w:rPr>
          <w:rFonts w:hint="eastAsia"/>
          <w:lang w:val="en-US" w:eastAsia="zh-CN"/>
        </w:rPr>
        <w:t>.</w:t>
      </w:r>
      <w:r>
        <w:rPr>
          <w:rFonts w:hint="eastAsia"/>
        </w:rPr>
        <w:t xml:space="preserve"> </w:t>
      </w:r>
    </w:p>
    <w:p w14:paraId="6629E09D">
      <w:pPr>
        <w:numPr>
          <w:ilvl w:val="0"/>
          <w:numId w:val="2"/>
        </w:numPr>
        <w:rPr>
          <w:rFonts w:hint="eastAsia"/>
        </w:rPr>
      </w:pPr>
      <w:r>
        <w:rPr>
          <w:rFonts w:hint="eastAsia"/>
        </w:rPr>
        <w:t>Zhang L; Yao K; Wang Y; Zhou Y; Fu Z; Li G; Ling J; Yang Y. Brain-Targeted Dual Site-Selective Functionalized Poly(β-Amino Esters) Delivery Platform for Nerve Regeneration. Nano Letters 2021, 21, 3007-3015.</w:t>
      </w:r>
    </w:p>
    <w:p w14:paraId="1663875C">
      <w:pPr>
        <w:numPr>
          <w:ilvl w:val="0"/>
          <w:numId w:val="2"/>
        </w:numPr>
        <w:rPr>
          <w:color w:val="auto"/>
        </w:rPr>
      </w:pPr>
      <w:r>
        <w:rPr>
          <w:rFonts w:hint="eastAsia"/>
          <w:bCs/>
          <w:color w:val="auto"/>
        </w:rPr>
        <w:t>Xiang J, Chen Q, Kang L, Zhang G, Wang Y, Qin B, Wu J, Zhou T, Han Y, Guan H. LncRNA PLCD3-OT1 Functions as a CeRNA to Prevent Age-Related Cataract by Sponging miR-224-5p and Regulating PLCD3 Expression. Invest Ophthalmol Vis Sci. 2019;60(14): 4670-4680</w:t>
      </w:r>
      <w:r>
        <w:rPr>
          <w:rFonts w:hint="eastAsia"/>
          <w:bCs/>
          <w:color w:val="auto"/>
          <w:lang w:val="en-US" w:eastAsia="zh-CN"/>
        </w:rPr>
        <w:t>.</w:t>
      </w:r>
    </w:p>
    <w:p w14:paraId="265F2F64">
      <w:pPr>
        <w:numPr>
          <w:ilvl w:val="0"/>
          <w:numId w:val="2"/>
        </w:numPr>
      </w:pPr>
      <w:r>
        <w:rPr>
          <w:rFonts w:hint="eastAsia"/>
        </w:rPr>
        <w:t>Zhang Y, Xu Y, Sun Q, Xue S, Guan H, Ji M. Activation of P2X7R- NLRP3 pathway in Retinal microglia contribute to Retinal Ganglion Cells death in chronic ocular hypertension (COH). Exp Eye Res. 2019;188:107771.</w:t>
      </w:r>
    </w:p>
    <w:p w14:paraId="093E0D4F">
      <w:pPr>
        <w:numPr>
          <w:ilvl w:val="0"/>
          <w:numId w:val="2"/>
        </w:numPr>
        <w:rPr>
          <w:rFonts w:hint="eastAsia"/>
        </w:rPr>
      </w:pPr>
      <w:r>
        <w:rPr>
          <w:rFonts w:hint="eastAsia"/>
        </w:rPr>
        <w:t xml:space="preserve">Zhang Z, Hou H, Yu S, Zhou C, Zhang X, Li N, Zhang S, Song K, Lu Y, Liu D, Lu H, Xu H. Inflammation-induced mammalian target of rapamycin signaling is essential for retina regeneration. Glia. 2020 Jan;68(1):111-127. </w:t>
      </w:r>
      <w:bookmarkStart w:id="2" w:name="_GoBack"/>
      <w:bookmarkEnd w:id="2"/>
    </w:p>
    <w:p w14:paraId="38E600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40AC1"/>
    <w:multiLevelType w:val="singleLevel"/>
    <w:tmpl w:val="51D40AC1"/>
    <w:lvl w:ilvl="0" w:tentative="0">
      <w:start w:val="1"/>
      <w:numFmt w:val="decimal"/>
      <w:suff w:val="nothing"/>
      <w:lvlText w:val="%1、"/>
      <w:lvlJc w:val="left"/>
    </w:lvl>
  </w:abstractNum>
  <w:abstractNum w:abstractNumId="1">
    <w:nsid w:val="612FBDF9"/>
    <w:multiLevelType w:val="singleLevel"/>
    <w:tmpl w:val="612FBDF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MzNhN2VhYTJmODA5ZmUwZDA3YTI2ZDMzNDljMTUifQ=="/>
  </w:docVars>
  <w:rsids>
    <w:rsidRoot w:val="6896756A"/>
    <w:rsid w:val="00332667"/>
    <w:rsid w:val="003862E2"/>
    <w:rsid w:val="004411B7"/>
    <w:rsid w:val="00767FBD"/>
    <w:rsid w:val="00B93579"/>
    <w:rsid w:val="24A95456"/>
    <w:rsid w:val="29B91E3A"/>
    <w:rsid w:val="313450A6"/>
    <w:rsid w:val="35717CBC"/>
    <w:rsid w:val="39E342EF"/>
    <w:rsid w:val="4F11005F"/>
    <w:rsid w:val="52F82B27"/>
    <w:rsid w:val="572F19CA"/>
    <w:rsid w:val="651E08FA"/>
    <w:rsid w:val="6896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Words>
  <Characters>52</Characters>
  <Lines>100</Lines>
  <Paragraphs>83</Paragraphs>
  <TotalTime>0</TotalTime>
  <ScaleCrop>false</ScaleCrop>
  <LinksUpToDate>false</LinksUpToDate>
  <CharactersWithSpaces>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2025-05-19T07:13:00Z</dcterms:created>
  <dc:creator>lenovo</dc:creator>
  <cp:lastModifiedBy>波妞宗介</cp:lastModifiedBy>
  <dcterms:modified xsi:type="dcterms:W3CDTF">2025-05-19T09:41:49Z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810F16425DE54E44BC44CED8ED09BD1A_13</vt:lpwstr>
  </property>
  <property fmtid="{D5CDD505-2E9C-101B-9397-08002B2CF9AE}" pid="4" name="KSOTemplateDocerSaveRecord">
    <vt:lpwstr>eyJoZGlkIjoiYzYyM2UzZGM0YzI5MWJlZmIzZWFkYmVjYmM3ZjZjN2YiLCJ1c2VySWQiOiI2NTAyNjQ0MjUifQ==</vt:lpwstr>
  </property>
</Properties>
</file>