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E7EF88">
      <w:pPr>
        <w:jc w:val="center"/>
        <w:rPr>
          <w:rFonts w:cs="宋体"/>
          <w:b/>
          <w:bCs/>
        </w:rPr>
      </w:pPr>
      <w:bookmarkStart w:id="0" w:name="OLE_LINK3"/>
      <w:r>
        <w:rPr>
          <w:rFonts w:hint="eastAsia" w:ascii="宋体" w:hAnsi="宋体"/>
          <w:b/>
          <w:color w:val="0D0D0D"/>
          <w:spacing w:val="2"/>
          <w:sz w:val="28"/>
          <w:szCs w:val="28"/>
        </w:rPr>
        <w:t>2025年度</w:t>
      </w:r>
      <w:bookmarkStart w:id="1" w:name="_Hlk198559820"/>
      <w:r>
        <w:rPr>
          <w:rFonts w:hint="eastAsia" w:ascii="宋体" w:hAnsi="宋体"/>
          <w:b/>
          <w:color w:val="0D0D0D"/>
          <w:spacing w:val="2"/>
          <w:sz w:val="28"/>
          <w:szCs w:val="28"/>
        </w:rPr>
        <w:t>江苏省科学技术奖提名项目</w:t>
      </w:r>
      <w:bookmarkEnd w:id="1"/>
      <w:r>
        <w:rPr>
          <w:rFonts w:hint="eastAsia" w:ascii="宋体" w:hAnsi="宋体"/>
          <w:b/>
          <w:color w:val="0D0D0D"/>
          <w:spacing w:val="2"/>
          <w:sz w:val="28"/>
          <w:szCs w:val="28"/>
        </w:rPr>
        <w:t>公示</w:t>
      </w:r>
      <w:bookmarkEnd w:id="0"/>
    </w:p>
    <w:p w14:paraId="17176CEA">
      <w:pPr>
        <w:jc w:val="left"/>
        <w:rPr>
          <w:rFonts w:cs="宋体"/>
          <w:b/>
          <w:bCs/>
        </w:rPr>
      </w:pPr>
    </w:p>
    <w:p w14:paraId="5B003FE8">
      <w:pPr>
        <w:jc w:val="left"/>
        <w:rPr>
          <w:rFonts w:cs="宋体"/>
        </w:rPr>
      </w:pPr>
      <w:r>
        <w:rPr>
          <w:rFonts w:hint="eastAsia" w:cs="宋体"/>
          <w:b/>
          <w:bCs/>
        </w:rPr>
        <w:t>项目名称：</w:t>
      </w:r>
      <w:r>
        <w:rPr>
          <w:rFonts w:hint="eastAsia" w:cs="宋体"/>
        </w:rPr>
        <w:t>周围神经损伤修复再生机制研究及转化</w:t>
      </w:r>
    </w:p>
    <w:p w14:paraId="4AD8AFDE">
      <w:pPr>
        <w:jc w:val="left"/>
        <w:rPr>
          <w:rFonts w:hint="eastAsia"/>
        </w:rPr>
      </w:pPr>
      <w:r>
        <w:rPr>
          <w:rFonts w:hint="eastAsia"/>
          <w:b/>
          <w:bCs/>
        </w:rPr>
        <w:t>完成人</w:t>
      </w:r>
      <w:r>
        <w:rPr>
          <w:rFonts w:hint="eastAsia"/>
        </w:rPr>
        <w:t>：杨宇民(南通大学)、罗振革(中国科学院脑科学与智能技术卓越创新中心）、于彬(南通大学)、李贵才(南通大学)、顾晓松(南通大学)、赵亚红（南通大学）、张添</w:t>
      </w:r>
      <w:bookmarkStart w:id="2" w:name="_GoBack"/>
      <w:bookmarkEnd w:id="2"/>
      <w:r>
        <w:rPr>
          <w:rFonts w:hint="eastAsia"/>
        </w:rPr>
        <w:t>(江苏益通生物科技有限公司）</w:t>
      </w:r>
    </w:p>
    <w:p w14:paraId="46BDCC22">
      <w:pPr>
        <w:jc w:val="left"/>
        <w:rPr>
          <w:rFonts w:hint="eastAsia" w:eastAsia="宋体"/>
          <w:b/>
          <w:bCs/>
          <w:lang w:val="en-US" w:eastAsia="zh-CN"/>
        </w:rPr>
      </w:pPr>
      <w:r>
        <w:rPr>
          <w:rFonts w:hint="eastAsia"/>
          <w:b/>
          <w:bCs/>
          <w:lang w:val="en-US" w:eastAsia="zh-CN"/>
        </w:rPr>
        <w:t>完成单位：</w:t>
      </w:r>
    </w:p>
    <w:p w14:paraId="581D5F16"/>
    <w:p w14:paraId="4D0CFB45">
      <w:r>
        <w:rPr>
          <w:rFonts w:hint="eastAsia"/>
        </w:rPr>
        <w:t>项目简介：</w:t>
      </w:r>
    </w:p>
    <w:p w14:paraId="66986CD5">
      <w:pPr>
        <w:spacing w:line="380" w:lineRule="exact"/>
        <w:ind w:firstLine="420" w:firstLineChars="200"/>
      </w:pPr>
      <w:r>
        <w:t>周围神经损伤临床十分常见，但其有效修复与功能重建仍是基础研究与临床转化的难题。其关键在于修复过程高度复杂：既需促进受损神经元再生与轴突延伸，还要重建有利微环境，并最终实现靶器官的精准再支配，方能恢复功能。组织工程神经可作为再生“桥梁”引导轴突跨越缺损，并同步构建适宜微环境以加速再生与功能恢复。本项目组十余年来率先从组织、细胞与分子层面研究神经损伤修复，系统阐明轴突再生与微环境重塑的关键机制。在此基础上提出“可生物降解组织工程神经”理念，聚焦“再生微环境重塑”策略开展系列研究并取得重要进展，引领了该领域的发展，主要成果如下：</w:t>
      </w:r>
    </w:p>
    <w:p w14:paraId="59FF8E2A">
      <w:pPr>
        <w:spacing w:line="380" w:lineRule="exact"/>
      </w:pPr>
      <w:r>
        <w:rPr>
          <w:b/>
          <w:bCs/>
        </w:rPr>
        <w:t>1. 从“外源信号-内在极性-细胞骨架重构”层面阐明轴突分化</w:t>
      </w:r>
      <w:r>
        <w:rPr>
          <w:rFonts w:hint="eastAsia"/>
          <w:b/>
          <w:bCs/>
        </w:rPr>
        <w:t>与</w:t>
      </w:r>
      <w:r>
        <w:rPr>
          <w:b/>
          <w:bCs/>
        </w:rPr>
        <w:t>生长的分子基础：</w:t>
      </w:r>
      <w:r>
        <w:t>首次</w:t>
      </w:r>
      <w:r>
        <w:rPr>
          <w:rFonts w:hint="eastAsia"/>
        </w:rPr>
        <w:t>聚焦神经再生动力，</w:t>
      </w:r>
      <w:r>
        <w:t>提出周围神经再生转录调控“三阶段”模式理论，揭示Wnt信号下游效应分子Dvl通过调控PKC的稳定性与活性驱动神经轴突分化，并促进轴突生长；同时发现细胞外基质成分Laminin通过Itgb1信号促进微管定向组装与稳定，对轴突起始与生长发挥指令性调控作用。</w:t>
      </w:r>
    </w:p>
    <w:p w14:paraId="10EDF283">
      <w:pPr>
        <w:spacing w:line="380" w:lineRule="exact"/>
      </w:pPr>
      <w:r>
        <w:rPr>
          <w:b/>
          <w:bCs/>
        </w:rPr>
        <w:t>2. 从</w:t>
      </w:r>
      <w:r>
        <w:rPr>
          <w:rFonts w:hint="eastAsia"/>
          <w:b/>
          <w:bCs/>
        </w:rPr>
        <w:t>非编码</w:t>
      </w:r>
      <w:r>
        <w:rPr>
          <w:b/>
          <w:bCs/>
        </w:rPr>
        <w:t>RNA</w:t>
      </w:r>
      <w:r>
        <w:rPr>
          <w:rFonts w:hint="eastAsia"/>
          <w:b/>
          <w:bCs/>
        </w:rPr>
        <w:t>网络</w:t>
      </w:r>
      <w:r>
        <w:rPr>
          <w:b/>
          <w:bCs/>
        </w:rPr>
        <w:t>表观遗传学层面揭示周围神经再生微环境调控的体系：</w:t>
      </w:r>
      <w:r>
        <w:t>在国际上</w:t>
      </w:r>
      <w:r>
        <w:rPr>
          <w:rFonts w:hint="eastAsia"/>
        </w:rPr>
        <w:t>率先描绘</w:t>
      </w:r>
      <w:r>
        <w:t>了坐骨神经损伤后的miRNA表达动态图谱，鉴定出</w:t>
      </w:r>
      <w:r>
        <w:rPr>
          <w:rFonts w:hint="eastAsia"/>
        </w:rPr>
        <w:t>再生相关的</w:t>
      </w:r>
      <w:r>
        <w:t>miRNA</w:t>
      </w:r>
      <w:r>
        <w:rPr>
          <w:rFonts w:hint="eastAsia"/>
        </w:rPr>
        <w:t>核心</w:t>
      </w:r>
      <w:r>
        <w:t>调控分子，系统揭示其通过调控施万细胞增殖、迁移与髓鞘形成等过程参与再生微环境重塑，构建了非编码RNA介导的表观遗传调控网络。其中，miR-182在周围神经损伤后显著上调，通过直接靶向FGF9与NTM调控损伤后施万细胞表型应答，维持施万细胞-轴突互作并影响神经再生过程。</w:t>
      </w:r>
    </w:p>
    <w:p w14:paraId="316BDDAE">
      <w:pPr>
        <w:spacing w:line="380" w:lineRule="exact"/>
      </w:pPr>
      <w:r>
        <w:rPr>
          <w:b/>
          <w:bCs/>
        </w:rPr>
        <w:t>3. 构建可降解壳聚糖组织工程神经移植物重塑微环境促进周围神经再生：</w:t>
      </w:r>
      <w:r>
        <w:t>团队以周围神经再生机制与微环境重塑为核心，采用静电纺丝、自组装与表面微/纳图案化等技术构建组织工程神经支架，形成适宜弹性与各向异性微纳复合拓扑结构，并引入生物活性IKVAV多肽模拟再生微环境。研究发现，该仿生支架可诱导施万细胞定向生长，并促进髓鞘相关基因和蛋白表达；同时阐明壳聚糖降解产物壳寡糖通过miRNA-趋化因子轴促进免疫细胞募集与微环境重建，进一步提升再生效果。</w:t>
      </w:r>
    </w:p>
    <w:p w14:paraId="5FE1CC73">
      <w:pPr>
        <w:spacing w:line="380" w:lineRule="exact"/>
      </w:pPr>
      <w:r>
        <w:rPr>
          <w:b/>
          <w:bCs/>
        </w:rPr>
        <w:t>4. 完成壳聚糖神经移植物临床研究获批上市并制定国家行业标准：</w:t>
      </w:r>
      <w:r>
        <w:t>在上述基础上，我们构建的壳聚糖神经移植物获国家III类医疗器械注册证并实现临床应用，完成招采挂网（24省市）与医保准入（17省市），</w:t>
      </w:r>
      <w:r>
        <w:rPr>
          <w:rFonts w:hint="eastAsia"/>
        </w:rPr>
        <w:t>企业累计销售产品16</w:t>
      </w:r>
      <w:r>
        <w:t>0</w:t>
      </w:r>
      <w:r>
        <w:rPr>
          <w:rFonts w:hint="eastAsia"/>
        </w:rPr>
        <w:t>6件</w:t>
      </w:r>
      <w:r>
        <w:t>；</w:t>
      </w:r>
      <w:r>
        <w:rPr>
          <w:rFonts w:hint="eastAsia"/>
        </w:rPr>
        <w:t>并</w:t>
      </w:r>
      <w:r>
        <w:t>牵头制定</w:t>
      </w:r>
      <w:r>
        <w:rPr>
          <w:rFonts w:hint="eastAsia"/>
        </w:rPr>
        <w:t>组织工程医疗器械产品</w:t>
      </w:r>
      <w:r>
        <w:t>国家行业标准</w:t>
      </w:r>
      <w:r>
        <w:rPr>
          <w:rFonts w:hint="eastAsia"/>
        </w:rPr>
        <w:t>2项</w:t>
      </w:r>
      <w:r>
        <w:t>，形成从机制</w:t>
      </w:r>
      <w:r>
        <w:rPr>
          <w:rFonts w:hint="eastAsia"/>
        </w:rPr>
        <w:t>研究</w:t>
      </w:r>
      <w:r>
        <w:t>到产品</w:t>
      </w:r>
      <w:r>
        <w:rPr>
          <w:rFonts w:hint="eastAsia"/>
        </w:rPr>
        <w:t>与</w:t>
      </w:r>
      <w:r>
        <w:t>标准</w:t>
      </w:r>
      <w:r>
        <w:rPr>
          <w:rFonts w:hint="eastAsia"/>
        </w:rPr>
        <w:t>的转化</w:t>
      </w:r>
      <w:r>
        <w:t>闭环。</w:t>
      </w:r>
    </w:p>
    <w:p w14:paraId="6975C89A">
      <w:pPr>
        <w:ind w:firstLine="420" w:firstLineChars="200"/>
      </w:pPr>
      <w:r>
        <w:t>上述研究成果发表在Nature Cell Biology‌、Science Advances、</w:t>
      </w:r>
      <w:r>
        <w:rPr>
          <w:rFonts w:hint="eastAsia" w:ascii="MS Gothic" w:hAnsi="MS Gothic" w:eastAsia="MS Gothic" w:cs="MS Gothic"/>
        </w:rPr>
        <w:t>‌</w:t>
      </w:r>
      <w:r>
        <w:t>Cell Research、Nucleic Acids Research和Biomaterials等国际权威期刊。5篇代表作先后被Cell、Science、Neuron等世界著名杂志引用，累计他引589次，并被国际专著与教科书收录3</w:t>
      </w:r>
      <w:r>
        <w:rPr>
          <w:rFonts w:hint="eastAsia"/>
        </w:rPr>
        <w:t>1</w:t>
      </w:r>
      <w:r>
        <w:t>本。项目已获授权中国及国际发明专利10项。相关成果获国内外媒体与专业平台多次报道，团队成员多次受邀在重要学术会议作大会/专题报告。总体而言，本项目研究揭示了周围神经再生的调控机制，为神经损伤的临床干预与转化应用提供了新的范式。</w:t>
      </w:r>
    </w:p>
    <w:p w14:paraId="18EC3828"/>
    <w:p w14:paraId="08382079">
      <w:r>
        <w:rPr>
          <w:rFonts w:hint="eastAsia"/>
        </w:rPr>
        <w:t>代表性论文论著目录（主要知识产权和标准规范目录）：</w:t>
      </w:r>
    </w:p>
    <w:p w14:paraId="4280F7F8">
      <w:pPr>
        <w:pStyle w:val="8"/>
        <w:ind w:firstLine="0" w:firstLineChars="0"/>
      </w:pPr>
      <w:r>
        <w:rPr>
          <w:rFonts w:hint="eastAsia"/>
        </w:rPr>
        <w:t>1.</w:t>
      </w:r>
      <w:r>
        <w:t xml:space="preserve"> </w:t>
      </w:r>
      <w:r>
        <w:rPr>
          <w:rFonts w:hint="eastAsia"/>
        </w:rPr>
        <w:t>Xian Zhang, Ji Zhu, Guo-Ying Yang, Qing-Jie Wang, Lei Qian, Yan-Min Chen, Fei Chen, Yu Tao, Han-Song Hu, Tong Wang, Zhen-Ge Luo.</w:t>
      </w:r>
      <w:r>
        <w:t xml:space="preserve"> </w:t>
      </w:r>
      <w:r>
        <w:rPr>
          <w:rFonts w:hint="eastAsia"/>
        </w:rPr>
        <w:t>Dishevelled Promotes Axon Differentiation by Regulating Atypical Protein Kinase C.</w:t>
      </w:r>
      <w:r>
        <w:t xml:space="preserve"> </w:t>
      </w:r>
      <w:r>
        <w:rPr>
          <w:rFonts w:hint="eastAsia"/>
        </w:rPr>
        <w:t>Nature Cell Biology. 2007</w:t>
      </w:r>
      <w:r>
        <w:t>;</w:t>
      </w:r>
      <w:r>
        <w:rPr>
          <w:rFonts w:hint="eastAsia"/>
        </w:rPr>
        <w:t>9(7):743-54</w:t>
      </w:r>
      <w:r>
        <w:t>.</w:t>
      </w:r>
    </w:p>
    <w:p w14:paraId="6346B1BE">
      <w:pPr>
        <w:pStyle w:val="8"/>
        <w:ind w:firstLine="0" w:firstLineChars="0"/>
      </w:pPr>
      <w:r>
        <w:rPr>
          <w:rFonts w:hint="eastAsia"/>
        </w:rPr>
        <w:t>2.</w:t>
      </w:r>
      <w:r>
        <w:t xml:space="preserve"> </w:t>
      </w:r>
      <w:r>
        <w:rPr>
          <w:rFonts w:hint="eastAsia"/>
        </w:rPr>
        <w:t>Wen-Liang Lei, Shi-Ge Xing, Cai-Yun Deng, Xiang-Chun Ju, Xing-Yu Jiang, Zhen-Ge Luo.</w:t>
      </w:r>
      <w:r>
        <w:t xml:space="preserve"> </w:t>
      </w:r>
      <w:r>
        <w:rPr>
          <w:rFonts w:hint="eastAsia"/>
        </w:rPr>
        <w:t>Laminin/β1 Integrin Signal Triggers Axon Formation by Promoting Microtubule Assembly and Stabilization.</w:t>
      </w:r>
      <w:r>
        <w:t xml:space="preserve"> </w:t>
      </w:r>
      <w:r>
        <w:rPr>
          <w:rFonts w:hint="eastAsia"/>
        </w:rPr>
        <w:t>Cell Research. 2012</w:t>
      </w:r>
      <w:r>
        <w:t>;</w:t>
      </w:r>
      <w:r>
        <w:rPr>
          <w:rFonts w:hint="eastAsia"/>
        </w:rPr>
        <w:t>22(6):954-72</w:t>
      </w:r>
      <w:r>
        <w:t>.</w:t>
      </w:r>
    </w:p>
    <w:p w14:paraId="58D574B7">
      <w:pPr>
        <w:pStyle w:val="8"/>
        <w:ind w:firstLine="0" w:firstLineChars="0"/>
      </w:pPr>
      <w:r>
        <w:rPr>
          <w:rFonts w:hint="eastAsia"/>
        </w:rPr>
        <w:t>3.</w:t>
      </w:r>
      <w:r>
        <w:t xml:space="preserve"> </w:t>
      </w:r>
      <w:r>
        <w:rPr>
          <w:rFonts w:hint="eastAsia"/>
        </w:rPr>
        <w:t>Bin Yu, Tianmei Qian, Yongjun Wang, Songlin Zhou, Guohui Ding, Fei Ding, Xiaosong Gu. MiR-182 Inhibits Schwann Cell Proliferation and Migration by Targeting Fgf9 and Ntm, Respectively at an Early Stage Following Sciatic Nerve Injury.</w:t>
      </w:r>
      <w:r>
        <w:t xml:space="preserve"> </w:t>
      </w:r>
      <w:r>
        <w:rPr>
          <w:rFonts w:hint="eastAsia"/>
        </w:rPr>
        <w:t>Nucleic Acids Research. 2012</w:t>
      </w:r>
      <w:r>
        <w:t>;</w:t>
      </w:r>
      <w:r>
        <w:rPr>
          <w:rFonts w:hint="eastAsia"/>
        </w:rPr>
        <w:t>40(20):10356-65</w:t>
      </w:r>
      <w:r>
        <w:t>.</w:t>
      </w:r>
    </w:p>
    <w:p w14:paraId="68C5D19B">
      <w:pPr>
        <w:pStyle w:val="8"/>
        <w:ind w:firstLine="0" w:firstLineChars="0"/>
      </w:pPr>
      <w:r>
        <w:rPr>
          <w:rFonts w:hint="eastAsia"/>
        </w:rPr>
        <w:t>4.</w:t>
      </w:r>
      <w:r>
        <w:t xml:space="preserve"> </w:t>
      </w:r>
      <w:r>
        <w:rPr>
          <w:rFonts w:hint="eastAsia"/>
        </w:rPr>
        <w:t>Guicai Li, Tiantian Zheng, Linliang Wu, Qi Han, Yifeng Lei, Longjian Xue, Luzhong Zhang, Xiaosong Gu, Yumin Yang.</w:t>
      </w:r>
      <w:r>
        <w:t xml:space="preserve"> </w:t>
      </w:r>
      <w:r>
        <w:rPr>
          <w:rFonts w:hint="eastAsia"/>
        </w:rPr>
        <w:t>Bionic Microenvironment-Inspired Synergistic Effect of Anisotropic Micro-Nanocomposite Topology and Biology Cues on Peripheral Nerve Regeneration</w:t>
      </w:r>
      <w:r>
        <w:t xml:space="preserve">. </w:t>
      </w:r>
      <w:r>
        <w:rPr>
          <w:rFonts w:hint="eastAsia"/>
        </w:rPr>
        <w:t>Science Advances. 2021</w:t>
      </w:r>
      <w:r>
        <w:t>;</w:t>
      </w:r>
      <w:r>
        <w:rPr>
          <w:rFonts w:hint="eastAsia"/>
        </w:rPr>
        <w:t>(28):eabi5812</w:t>
      </w:r>
      <w:r>
        <w:t>.</w:t>
      </w:r>
    </w:p>
    <w:p w14:paraId="5F4B3A77">
      <w:pPr>
        <w:pStyle w:val="8"/>
        <w:ind w:firstLine="0" w:firstLineChars="0"/>
      </w:pPr>
      <w:r>
        <w:rPr>
          <w:rFonts w:hint="eastAsia"/>
        </w:rPr>
        <w:t>5.</w:t>
      </w:r>
      <w:r>
        <w:t xml:space="preserve"> </w:t>
      </w:r>
      <w:r>
        <w:rPr>
          <w:rFonts w:hint="eastAsia"/>
        </w:rPr>
        <w:t>Yahong Zhao, Yongjun Wang, Jiahuan Gong, Liu Yang, Changmei Niu, Xuejun Ni, Yaling Wang, Su Peng, Xiaosong Gu, Cheng Sun , Yumin Yang.</w:t>
      </w:r>
      <w:r>
        <w:t xml:space="preserve"> </w:t>
      </w:r>
      <w:r>
        <w:rPr>
          <w:rFonts w:hint="eastAsia"/>
        </w:rPr>
        <w:t>Chitosan Degradation Products Facilitate Peripheral Nerve Regeneration by Improving Macrophage-Constructed Microenvironments.</w:t>
      </w:r>
      <w:r>
        <w:t xml:space="preserve"> </w:t>
      </w:r>
      <w:r>
        <w:rPr>
          <w:rFonts w:hint="eastAsia"/>
        </w:rPr>
        <w:t>Biomaterials. 2017</w:t>
      </w:r>
      <w:r>
        <w:t>;</w:t>
      </w:r>
      <w:r>
        <w:rPr>
          <w:rFonts w:hint="eastAsia"/>
        </w:rPr>
        <w:t>134:64-77</w:t>
      </w:r>
      <w: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NkMzNhN2VhYTJmODA5ZmUwZDA3YTI2ZDMzNDljMTUifQ=="/>
  </w:docVars>
  <w:rsids>
    <w:rsidRoot w:val="6896756A"/>
    <w:rsid w:val="002640D8"/>
    <w:rsid w:val="00332667"/>
    <w:rsid w:val="003552C4"/>
    <w:rsid w:val="00364A86"/>
    <w:rsid w:val="003862E2"/>
    <w:rsid w:val="00386729"/>
    <w:rsid w:val="003A66B0"/>
    <w:rsid w:val="003E2681"/>
    <w:rsid w:val="00412356"/>
    <w:rsid w:val="004411B7"/>
    <w:rsid w:val="00767FBD"/>
    <w:rsid w:val="009F1B94"/>
    <w:rsid w:val="00AD2E53"/>
    <w:rsid w:val="00B93579"/>
    <w:rsid w:val="00C07EC1"/>
    <w:rsid w:val="00D40348"/>
    <w:rsid w:val="00E01BAC"/>
    <w:rsid w:val="10AD0644"/>
    <w:rsid w:val="1D1B479F"/>
    <w:rsid w:val="214F6F41"/>
    <w:rsid w:val="24A95456"/>
    <w:rsid w:val="29B91E3A"/>
    <w:rsid w:val="307E6191"/>
    <w:rsid w:val="313450A6"/>
    <w:rsid w:val="32523E2B"/>
    <w:rsid w:val="35717CBC"/>
    <w:rsid w:val="39E342EF"/>
    <w:rsid w:val="419D3E85"/>
    <w:rsid w:val="4D6458B1"/>
    <w:rsid w:val="4F11005F"/>
    <w:rsid w:val="52F82B27"/>
    <w:rsid w:val="572F19CA"/>
    <w:rsid w:val="6095398E"/>
    <w:rsid w:val="645034BA"/>
    <w:rsid w:val="6896756A"/>
    <w:rsid w:val="7F9441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tabs>
        <w:tab w:val="center" w:pos="4153"/>
        <w:tab w:val="right" w:pos="8306"/>
      </w:tabs>
      <w:snapToGrid w:val="0"/>
      <w:jc w:val="center"/>
    </w:pPr>
    <w:rPr>
      <w:sz w:val="18"/>
      <w:szCs w:val="18"/>
    </w:rPr>
  </w:style>
  <w:style w:type="character" w:customStyle="1" w:styleId="6">
    <w:name w:val="页眉 字符"/>
    <w:basedOn w:val="5"/>
    <w:link w:val="3"/>
    <w:qFormat/>
    <w:uiPriority w:val="0"/>
    <w:rPr>
      <w:kern w:val="2"/>
      <w:sz w:val="18"/>
      <w:szCs w:val="18"/>
    </w:rPr>
  </w:style>
  <w:style w:type="character" w:customStyle="1" w:styleId="7">
    <w:name w:val="页脚 字符"/>
    <w:basedOn w:val="5"/>
    <w:link w:val="2"/>
    <w:qFormat/>
    <w:uiPriority w:val="0"/>
    <w:rPr>
      <w:kern w:val="2"/>
      <w:sz w:val="18"/>
      <w:szCs w:val="18"/>
    </w:rPr>
  </w:style>
  <w:style w:type="paragraph" w:styleId="8">
    <w:name w:val="List Paragraph"/>
    <w:basedOn w:val="1"/>
    <w:unhideWhenUsed/>
    <w:qFormat/>
    <w:uiPriority w:val="99"/>
    <w:pPr>
      <w:ind w:firstLine="420" w:firstLineChars="200"/>
    </w:pPr>
  </w:style>
  <w:style w:type="table" w:customStyle="1" w:styleId="9">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1498</Words>
  <Characters>2644</Characters>
  <Lines>20</Lines>
  <Paragraphs>5</Paragraphs>
  <TotalTime>18</TotalTime>
  <ScaleCrop>false</ScaleCrop>
  <LinksUpToDate>false</LinksUpToDate>
  <CharactersWithSpaces>2828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2025-05-23T03:00:00Z</dcterms:created>
  <dc:creator>lenovo</dc:creator>
  <cp:lastModifiedBy>谭伟</cp:lastModifiedBy>
  <dcterms:modified xsi:type="dcterms:W3CDTF">2026-06-25T00:35:53Z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99B6FAD4BBA14194A24ABE41FDA510AB_13</vt:lpwstr>
  </property>
  <property fmtid="{D5CDD505-2E9C-101B-9397-08002B2CF9AE}" pid="4" name="KSOTemplateDocerSaveRecord">
    <vt:lpwstr>eyJoZGlkIjoiMTNmMGVlYWI0ZWM0NzY2NjNmMGI2OTBmZmU2NDY1NjIiLCJ1c2VySWQiOiIxNjk0ODkyNTQwIn0=</vt:lpwstr>
  </property>
</Properties>
</file>