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AB8B" w14:textId="77777777" w:rsidR="00162D89" w:rsidRDefault="00000000">
      <w:pPr>
        <w:adjustRightInd w:val="0"/>
        <w:snapToGrid w:val="0"/>
        <w:jc w:val="center"/>
        <w:rPr>
          <w:rFonts w:ascii="方正小标宋简体" w:eastAsia="方正小标宋简体" w:hAnsi="宋体"/>
          <w:sz w:val="40"/>
          <w:szCs w:val="40"/>
        </w:rPr>
      </w:pPr>
      <w:r>
        <w:rPr>
          <w:rFonts w:ascii="方正小标宋简体" w:eastAsia="方正小标宋简体" w:hAnsi="宋体" w:hint="eastAsia"/>
          <w:sz w:val="40"/>
          <w:szCs w:val="40"/>
        </w:rPr>
        <w:t>中国发明协会2026年度“发明创业奖”</w:t>
      </w:r>
    </w:p>
    <w:p w14:paraId="6F0DC2EE" w14:textId="77777777" w:rsidR="00162D89" w:rsidRDefault="00000000">
      <w:pPr>
        <w:adjustRightInd w:val="0"/>
        <w:snapToGrid w:val="0"/>
        <w:jc w:val="center"/>
        <w:rPr>
          <w:rFonts w:ascii="方正小标宋简体" w:eastAsia="方正小标宋简体" w:hAnsi="宋体"/>
          <w:sz w:val="40"/>
          <w:szCs w:val="40"/>
        </w:rPr>
      </w:pPr>
      <w:r>
        <w:rPr>
          <w:rFonts w:ascii="方正小标宋简体" w:eastAsia="方正小标宋简体" w:hAnsi="宋体" w:hint="eastAsia"/>
          <w:sz w:val="40"/>
          <w:szCs w:val="40"/>
        </w:rPr>
        <w:t>提名项目公示内容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7"/>
      </w:tblGrid>
      <w:tr w:rsidR="00162D89" w14:paraId="372A6BF2" w14:textId="77777777">
        <w:trPr>
          <w:trHeight w:val="737"/>
          <w:jc w:val="center"/>
        </w:trPr>
        <w:tc>
          <w:tcPr>
            <w:tcW w:w="2122" w:type="dxa"/>
            <w:vAlign w:val="center"/>
          </w:tcPr>
          <w:p w14:paraId="08B9649F" w14:textId="77777777" w:rsidR="00162D89" w:rsidRDefault="00000000">
            <w:pPr>
              <w:adjustRightInd w:val="0"/>
              <w:snapToGrid w:val="0"/>
              <w:spacing w:line="276" w:lineRule="auto"/>
              <w:jc w:val="center"/>
              <w:rPr>
                <w:rFonts w:ascii="仿宋_GB2312" w:eastAsia="仿宋_GB2312" w:hAnsi="宋体"/>
                <w:sz w:val="32"/>
                <w:szCs w:val="32"/>
              </w:rPr>
            </w:pPr>
            <w:r>
              <w:rPr>
                <w:rFonts w:ascii="仿宋_GB2312" w:eastAsia="仿宋_GB2312" w:hAnsi="宋体" w:hint="eastAsia"/>
                <w:sz w:val="32"/>
                <w:szCs w:val="32"/>
              </w:rPr>
              <w:t>提名者</w:t>
            </w:r>
          </w:p>
        </w:tc>
        <w:tc>
          <w:tcPr>
            <w:tcW w:w="7087" w:type="dxa"/>
            <w:vAlign w:val="center"/>
          </w:tcPr>
          <w:p w14:paraId="4B55D71E" w14:textId="5EA76B49" w:rsidR="00162D89" w:rsidRPr="00BF48E8" w:rsidRDefault="00BF48E8" w:rsidP="00BF48E8">
            <w:pPr>
              <w:spacing w:line="276" w:lineRule="auto"/>
              <w:jc w:val="center"/>
              <w:rPr>
                <w:rFonts w:ascii="宋体" w:eastAsia="宋体" w:hAnsi="宋体" w:cs="宋体"/>
                <w:color w:val="000000"/>
                <w:kern w:val="0"/>
                <w:sz w:val="24"/>
                <w:szCs w:val="24"/>
                <w:lang w:bidi="ar"/>
              </w:rPr>
            </w:pPr>
            <w:r w:rsidRPr="00BF48E8">
              <w:rPr>
                <w:rFonts w:ascii="宋体" w:eastAsia="宋体" w:hAnsi="宋体" w:cs="宋体" w:hint="eastAsia"/>
                <w:color w:val="000000"/>
                <w:kern w:val="0"/>
                <w:sz w:val="24"/>
                <w:szCs w:val="24"/>
                <w:lang w:bidi="ar"/>
              </w:rPr>
              <w:t>南通大学</w:t>
            </w:r>
          </w:p>
        </w:tc>
      </w:tr>
      <w:tr w:rsidR="00162D89" w14:paraId="3C8ED24E" w14:textId="77777777">
        <w:trPr>
          <w:trHeight w:val="737"/>
          <w:jc w:val="center"/>
        </w:trPr>
        <w:tc>
          <w:tcPr>
            <w:tcW w:w="2122" w:type="dxa"/>
            <w:vAlign w:val="center"/>
          </w:tcPr>
          <w:p w14:paraId="1EB816C7" w14:textId="77777777" w:rsidR="00162D89" w:rsidRDefault="00000000">
            <w:pPr>
              <w:adjustRightInd w:val="0"/>
              <w:snapToGrid w:val="0"/>
              <w:spacing w:line="276" w:lineRule="auto"/>
              <w:jc w:val="center"/>
              <w:rPr>
                <w:rFonts w:ascii="仿宋_GB2312" w:eastAsia="仿宋_GB2312" w:hAnsi="宋体"/>
                <w:sz w:val="32"/>
                <w:szCs w:val="32"/>
              </w:rPr>
            </w:pPr>
            <w:r>
              <w:rPr>
                <w:rFonts w:ascii="仿宋_GB2312" w:eastAsia="仿宋_GB2312" w:hAnsi="宋体" w:hint="eastAsia"/>
                <w:sz w:val="32"/>
                <w:szCs w:val="32"/>
              </w:rPr>
              <w:t>奖项类别</w:t>
            </w:r>
          </w:p>
        </w:tc>
        <w:tc>
          <w:tcPr>
            <w:tcW w:w="7087" w:type="dxa"/>
            <w:vAlign w:val="center"/>
          </w:tcPr>
          <w:p w14:paraId="174E93F5" w14:textId="6434881F" w:rsidR="00162D89" w:rsidRDefault="00000000">
            <w:pPr>
              <w:adjustRightInd w:val="0"/>
              <w:snapToGrid w:val="0"/>
              <w:rPr>
                <w:rFonts w:ascii="仿宋_GB2312" w:eastAsia="仿宋_GB2312" w:hAnsi="宋体"/>
                <w:sz w:val="32"/>
                <w:szCs w:val="32"/>
              </w:rPr>
            </w:pPr>
            <w:r>
              <w:rPr>
                <w:rFonts w:ascii="仿宋_GB2312" w:eastAsia="仿宋_GB2312" w:hAnsi="宋体" w:hint="eastAsia"/>
                <w:sz w:val="32"/>
                <w:szCs w:val="32"/>
              </w:rPr>
              <w:t xml:space="preserve">□人物奖  </w:t>
            </w:r>
            <w:r w:rsidR="000A1FF8">
              <w:rPr>
                <w:rFonts w:ascii="Calibri" w:eastAsia="仿宋_GB2312" w:hAnsi="Calibri" w:cs="Calibri"/>
                <w:sz w:val="32"/>
                <w:szCs w:val="32"/>
              </w:rPr>
              <w:t>√</w:t>
            </w:r>
            <w:r>
              <w:rPr>
                <w:rFonts w:ascii="仿宋_GB2312" w:eastAsia="仿宋_GB2312" w:hAnsi="宋体" w:hint="eastAsia"/>
                <w:sz w:val="32"/>
                <w:szCs w:val="32"/>
              </w:rPr>
              <w:t>成果奖  □创新奖  □项目奖</w:t>
            </w:r>
          </w:p>
        </w:tc>
      </w:tr>
      <w:tr w:rsidR="00162D89" w14:paraId="12BCDCA0" w14:textId="77777777">
        <w:trPr>
          <w:trHeight w:val="737"/>
          <w:jc w:val="center"/>
        </w:trPr>
        <w:tc>
          <w:tcPr>
            <w:tcW w:w="2122" w:type="dxa"/>
            <w:vAlign w:val="center"/>
          </w:tcPr>
          <w:p w14:paraId="6E7E72B5" w14:textId="77777777" w:rsidR="00162D89" w:rsidRDefault="00000000">
            <w:pPr>
              <w:adjustRightInd w:val="0"/>
              <w:snapToGrid w:val="0"/>
              <w:spacing w:line="276" w:lineRule="auto"/>
              <w:jc w:val="center"/>
              <w:rPr>
                <w:rFonts w:ascii="仿宋_GB2312" w:eastAsia="仿宋_GB2312" w:hAnsi="宋体"/>
                <w:sz w:val="32"/>
                <w:szCs w:val="32"/>
              </w:rPr>
            </w:pPr>
            <w:r>
              <w:rPr>
                <w:rFonts w:ascii="仿宋_GB2312" w:eastAsia="仿宋_GB2312" w:hAnsi="宋体" w:hint="eastAsia"/>
                <w:sz w:val="32"/>
                <w:szCs w:val="32"/>
              </w:rPr>
              <w:t>提名等级</w:t>
            </w:r>
          </w:p>
        </w:tc>
        <w:tc>
          <w:tcPr>
            <w:tcW w:w="7087" w:type="dxa"/>
            <w:vAlign w:val="center"/>
          </w:tcPr>
          <w:p w14:paraId="04036EC3" w14:textId="6B1AD813" w:rsidR="00162D89" w:rsidRPr="00BF48E8" w:rsidRDefault="00BF48E8" w:rsidP="00BF48E8">
            <w:pPr>
              <w:spacing w:line="276" w:lineRule="auto"/>
              <w:jc w:val="center"/>
              <w:rPr>
                <w:rFonts w:ascii="仿宋_GB2312" w:eastAsia="仿宋_GB2312" w:hAnsi="宋体"/>
                <w:sz w:val="24"/>
                <w:szCs w:val="24"/>
              </w:rPr>
            </w:pPr>
            <w:r w:rsidRPr="00BF48E8">
              <w:rPr>
                <w:rFonts w:ascii="宋体" w:eastAsia="宋体" w:hAnsi="宋体" w:cs="宋体" w:hint="eastAsia"/>
                <w:color w:val="000000"/>
                <w:kern w:val="0"/>
                <w:sz w:val="24"/>
                <w:szCs w:val="24"/>
                <w:lang w:bidi="ar"/>
              </w:rPr>
              <w:t>一等奖</w:t>
            </w:r>
          </w:p>
        </w:tc>
      </w:tr>
      <w:tr w:rsidR="00162D89" w14:paraId="101B3CFA" w14:textId="77777777">
        <w:trPr>
          <w:trHeight w:val="737"/>
          <w:jc w:val="center"/>
        </w:trPr>
        <w:tc>
          <w:tcPr>
            <w:tcW w:w="2122" w:type="dxa"/>
            <w:vAlign w:val="center"/>
          </w:tcPr>
          <w:p w14:paraId="71E6DB40" w14:textId="77777777" w:rsidR="00162D89" w:rsidRDefault="00000000">
            <w:pPr>
              <w:adjustRightInd w:val="0"/>
              <w:snapToGrid w:val="0"/>
              <w:spacing w:line="276" w:lineRule="auto"/>
              <w:jc w:val="center"/>
              <w:rPr>
                <w:rFonts w:ascii="仿宋_GB2312" w:eastAsia="仿宋_GB2312" w:hAnsi="宋体"/>
                <w:sz w:val="32"/>
                <w:szCs w:val="32"/>
              </w:rPr>
            </w:pPr>
            <w:r>
              <w:rPr>
                <w:rFonts w:ascii="仿宋_GB2312" w:eastAsia="仿宋_GB2312" w:hAnsi="宋体" w:hint="eastAsia"/>
                <w:sz w:val="32"/>
                <w:szCs w:val="32"/>
              </w:rPr>
              <w:t>学科</w:t>
            </w:r>
          </w:p>
        </w:tc>
        <w:tc>
          <w:tcPr>
            <w:tcW w:w="7087" w:type="dxa"/>
            <w:vAlign w:val="center"/>
          </w:tcPr>
          <w:p w14:paraId="4076294D" w14:textId="3491C8F6" w:rsidR="00162D89" w:rsidRPr="00BF48E8" w:rsidRDefault="000A1FF8" w:rsidP="000A1FF8">
            <w:pPr>
              <w:spacing w:line="276" w:lineRule="auto"/>
              <w:jc w:val="center"/>
              <w:rPr>
                <w:rFonts w:ascii="仿宋_GB2312" w:eastAsia="仿宋_GB2312" w:hAnsi="宋体"/>
                <w:sz w:val="24"/>
                <w:szCs w:val="24"/>
              </w:rPr>
            </w:pPr>
            <w:r w:rsidRPr="00BF48E8">
              <w:rPr>
                <w:rFonts w:ascii="宋体" w:eastAsia="宋体" w:hAnsi="宋体" w:cs="宋体" w:hint="eastAsia"/>
                <w:color w:val="000000"/>
                <w:kern w:val="0"/>
                <w:sz w:val="24"/>
                <w:szCs w:val="24"/>
                <w:lang w:bidi="ar"/>
              </w:rPr>
              <w:t>电子信息</w:t>
            </w:r>
          </w:p>
        </w:tc>
      </w:tr>
      <w:tr w:rsidR="00162D89" w14:paraId="7E339146" w14:textId="77777777">
        <w:trPr>
          <w:trHeight w:val="737"/>
          <w:jc w:val="center"/>
        </w:trPr>
        <w:tc>
          <w:tcPr>
            <w:tcW w:w="2122" w:type="dxa"/>
            <w:vAlign w:val="center"/>
          </w:tcPr>
          <w:p w14:paraId="717BF8C7" w14:textId="77777777" w:rsidR="00162D89" w:rsidRDefault="00000000">
            <w:pPr>
              <w:snapToGrid w:val="0"/>
              <w:spacing w:line="276" w:lineRule="auto"/>
              <w:jc w:val="center"/>
              <w:rPr>
                <w:rFonts w:ascii="仿宋_GB2312" w:eastAsia="仿宋_GB2312" w:hAnsi="宋体"/>
                <w:sz w:val="32"/>
                <w:szCs w:val="32"/>
              </w:rPr>
            </w:pPr>
            <w:r>
              <w:rPr>
                <w:rFonts w:ascii="仿宋_GB2312" w:eastAsia="仿宋_GB2312" w:hAnsi="宋体" w:hint="eastAsia"/>
                <w:sz w:val="32"/>
                <w:szCs w:val="32"/>
              </w:rPr>
              <w:t>项目名称</w:t>
            </w:r>
          </w:p>
        </w:tc>
        <w:tc>
          <w:tcPr>
            <w:tcW w:w="7087" w:type="dxa"/>
            <w:vAlign w:val="center"/>
          </w:tcPr>
          <w:p w14:paraId="3C03F0A4" w14:textId="22C05344" w:rsidR="00162D89" w:rsidRPr="00BF48E8" w:rsidRDefault="000A1FF8" w:rsidP="000A1FF8">
            <w:pPr>
              <w:spacing w:line="276" w:lineRule="auto"/>
              <w:jc w:val="center"/>
              <w:rPr>
                <w:rFonts w:ascii="仿宋_GB2312" w:eastAsia="仿宋_GB2312" w:hAnsi="宋体"/>
                <w:sz w:val="24"/>
                <w:szCs w:val="24"/>
              </w:rPr>
            </w:pPr>
            <w:r w:rsidRPr="00BF48E8">
              <w:rPr>
                <w:rFonts w:ascii="宋体" w:eastAsia="宋体" w:hAnsi="宋体" w:cs="宋体"/>
                <w:color w:val="000000"/>
                <w:kern w:val="0"/>
                <w:sz w:val="24"/>
                <w:szCs w:val="24"/>
                <w:lang w:bidi="ar"/>
              </w:rPr>
              <w:t>PE-</w:t>
            </w:r>
            <w:proofErr w:type="spellStart"/>
            <w:r w:rsidRPr="00BF48E8">
              <w:rPr>
                <w:rFonts w:ascii="宋体" w:eastAsia="宋体" w:hAnsi="宋体" w:cs="宋体"/>
                <w:color w:val="000000"/>
                <w:kern w:val="0"/>
                <w:sz w:val="24"/>
                <w:szCs w:val="24"/>
                <w:lang w:bidi="ar"/>
              </w:rPr>
              <w:t>TOPCon</w:t>
            </w:r>
            <w:proofErr w:type="spellEnd"/>
            <w:r w:rsidRPr="00BF48E8">
              <w:rPr>
                <w:rFonts w:ascii="宋体" w:eastAsia="宋体" w:hAnsi="宋体" w:cs="宋体"/>
                <w:color w:val="000000"/>
                <w:kern w:val="0"/>
                <w:sz w:val="24"/>
                <w:szCs w:val="24"/>
                <w:lang w:bidi="ar"/>
              </w:rPr>
              <w:t xml:space="preserve"> 高效电池关键技术和高端装备的创新与产业化</w:t>
            </w:r>
          </w:p>
        </w:tc>
      </w:tr>
      <w:tr w:rsidR="00162D89" w14:paraId="00CF708E" w14:textId="77777777">
        <w:trPr>
          <w:trHeight w:val="397"/>
          <w:jc w:val="center"/>
        </w:trPr>
        <w:tc>
          <w:tcPr>
            <w:tcW w:w="2122" w:type="dxa"/>
            <w:vAlign w:val="center"/>
          </w:tcPr>
          <w:p w14:paraId="118AB220" w14:textId="77777777" w:rsidR="00162D89" w:rsidRDefault="00000000">
            <w:pPr>
              <w:snapToGrid w:val="0"/>
              <w:spacing w:line="276" w:lineRule="auto"/>
              <w:jc w:val="center"/>
              <w:rPr>
                <w:rFonts w:ascii="仿宋_GB2312" w:eastAsia="仿宋_GB2312" w:hAnsi="宋体"/>
                <w:sz w:val="32"/>
                <w:szCs w:val="32"/>
              </w:rPr>
            </w:pPr>
            <w:r>
              <w:rPr>
                <w:rFonts w:ascii="仿宋_GB2312" w:eastAsia="仿宋_GB2312" w:hAnsi="宋体" w:hint="eastAsia"/>
                <w:sz w:val="32"/>
                <w:szCs w:val="32"/>
              </w:rPr>
              <w:t>完成人（完成单位）</w:t>
            </w:r>
          </w:p>
        </w:tc>
        <w:tc>
          <w:tcPr>
            <w:tcW w:w="7087" w:type="dxa"/>
            <w:vAlign w:val="center"/>
          </w:tcPr>
          <w:p w14:paraId="4F5669C0" w14:textId="06B0D819" w:rsidR="000A1FF8" w:rsidRPr="00BF48E8" w:rsidRDefault="000A1FF8" w:rsidP="000A1FF8">
            <w:pPr>
              <w:spacing w:line="276" w:lineRule="auto"/>
              <w:jc w:val="center"/>
              <w:rPr>
                <w:rFonts w:ascii="宋体" w:eastAsia="宋体" w:hAnsi="宋体" w:cs="宋体"/>
                <w:color w:val="000000"/>
                <w:kern w:val="0"/>
                <w:sz w:val="24"/>
                <w:szCs w:val="24"/>
                <w:lang w:bidi="ar"/>
              </w:rPr>
            </w:pPr>
            <w:r w:rsidRPr="00BF48E8">
              <w:rPr>
                <w:rFonts w:ascii="宋体" w:eastAsia="宋体" w:hAnsi="宋体" w:cs="宋体" w:hint="eastAsia"/>
                <w:color w:val="000000"/>
                <w:kern w:val="0"/>
                <w:sz w:val="24"/>
                <w:szCs w:val="24"/>
                <w:lang w:bidi="ar"/>
              </w:rPr>
              <w:t>廖宝臣 (南通大学)</w:t>
            </w:r>
          </w:p>
          <w:p w14:paraId="51B4BF8D" w14:textId="2EB6BB79" w:rsidR="000A1FF8" w:rsidRPr="00BF48E8" w:rsidRDefault="000A1FF8" w:rsidP="000A1FF8">
            <w:pPr>
              <w:spacing w:line="276" w:lineRule="auto"/>
              <w:jc w:val="center"/>
              <w:rPr>
                <w:rFonts w:ascii="宋体" w:eastAsia="宋体" w:hAnsi="宋体" w:cs="宋体"/>
                <w:color w:val="000000"/>
                <w:kern w:val="0"/>
                <w:sz w:val="24"/>
                <w:szCs w:val="24"/>
                <w:lang w:bidi="ar"/>
              </w:rPr>
            </w:pPr>
            <w:r w:rsidRPr="00BF48E8">
              <w:rPr>
                <w:rFonts w:ascii="宋体" w:eastAsia="宋体" w:hAnsi="宋体" w:cs="宋体" w:hint="eastAsia"/>
                <w:color w:val="000000"/>
                <w:kern w:val="0"/>
                <w:sz w:val="24"/>
                <w:szCs w:val="24"/>
                <w:lang w:bidi="ar"/>
              </w:rPr>
              <w:t>杨永杰</w:t>
            </w:r>
            <w:bookmarkStart w:id="0" w:name="OLE_LINK3"/>
            <w:r w:rsidRPr="00BF48E8">
              <w:rPr>
                <w:rFonts w:ascii="宋体" w:eastAsia="宋体" w:hAnsi="宋体" w:cs="宋体" w:hint="eastAsia"/>
                <w:color w:val="000000"/>
                <w:kern w:val="0"/>
                <w:sz w:val="24"/>
                <w:szCs w:val="24"/>
                <w:lang w:bidi="ar"/>
              </w:rPr>
              <w:t xml:space="preserve"> (南通大学)</w:t>
            </w:r>
          </w:p>
          <w:p w14:paraId="10E01D44" w14:textId="1F438EFB" w:rsidR="00162D89" w:rsidRDefault="000A1FF8" w:rsidP="000A1FF8">
            <w:pPr>
              <w:spacing w:line="276" w:lineRule="auto"/>
              <w:jc w:val="center"/>
              <w:rPr>
                <w:rFonts w:ascii="仿宋_GB2312" w:eastAsia="仿宋_GB2312" w:hAnsi="宋体"/>
                <w:sz w:val="32"/>
                <w:szCs w:val="32"/>
              </w:rPr>
            </w:pPr>
            <w:r w:rsidRPr="00BF48E8">
              <w:rPr>
                <w:rFonts w:ascii="宋体" w:eastAsia="宋体" w:hAnsi="宋体" w:cs="宋体" w:hint="eastAsia"/>
                <w:color w:val="000000"/>
                <w:kern w:val="0"/>
                <w:sz w:val="24"/>
                <w:szCs w:val="24"/>
                <w:lang w:bidi="ar"/>
              </w:rPr>
              <w:t>黎微明</w:t>
            </w:r>
            <w:bookmarkEnd w:id="0"/>
            <w:r w:rsidRPr="00BF48E8">
              <w:rPr>
                <w:rFonts w:ascii="宋体" w:eastAsia="宋体" w:hAnsi="宋体" w:cs="宋体" w:hint="eastAsia"/>
                <w:color w:val="000000"/>
                <w:kern w:val="0"/>
                <w:sz w:val="24"/>
                <w:szCs w:val="24"/>
                <w:lang w:bidi="ar"/>
              </w:rPr>
              <w:t xml:space="preserve"> (江苏微导纳米科技股份有限公司)</w:t>
            </w:r>
          </w:p>
        </w:tc>
      </w:tr>
      <w:tr w:rsidR="00162D89" w14:paraId="4277286E" w14:textId="77777777">
        <w:trPr>
          <w:trHeight w:val="5062"/>
          <w:jc w:val="center"/>
        </w:trPr>
        <w:tc>
          <w:tcPr>
            <w:tcW w:w="2122" w:type="dxa"/>
            <w:vAlign w:val="center"/>
          </w:tcPr>
          <w:p w14:paraId="4324D616" w14:textId="77777777" w:rsidR="00162D89" w:rsidRDefault="00000000">
            <w:pPr>
              <w:adjustRightInd w:val="0"/>
              <w:snapToGrid w:val="0"/>
              <w:spacing w:line="276" w:lineRule="auto"/>
              <w:jc w:val="center"/>
              <w:rPr>
                <w:rFonts w:ascii="仿宋_GB2312" w:eastAsia="仿宋_GB2312" w:hAnsi="宋体"/>
                <w:sz w:val="32"/>
                <w:szCs w:val="32"/>
              </w:rPr>
            </w:pPr>
            <w:r>
              <w:rPr>
                <w:rFonts w:ascii="仿宋_GB2312" w:eastAsia="仿宋_GB2312" w:hAnsi="宋体" w:hint="eastAsia"/>
                <w:sz w:val="32"/>
                <w:szCs w:val="32"/>
              </w:rPr>
              <w:t>项目简介</w:t>
            </w:r>
          </w:p>
        </w:tc>
        <w:tc>
          <w:tcPr>
            <w:tcW w:w="7087" w:type="dxa"/>
            <w:vAlign w:val="center"/>
          </w:tcPr>
          <w:p w14:paraId="0A5D9058" w14:textId="61A0287B" w:rsidR="00162D89" w:rsidRPr="00BF48E8" w:rsidRDefault="000A1FF8">
            <w:pPr>
              <w:spacing w:line="276" w:lineRule="auto"/>
              <w:rPr>
                <w:rFonts w:ascii="仿宋_GB2312" w:eastAsia="仿宋_GB2312" w:hAnsi="宋体"/>
                <w:sz w:val="24"/>
                <w:szCs w:val="24"/>
              </w:rPr>
            </w:pPr>
            <w:r>
              <w:rPr>
                <w:rFonts w:ascii="宋体" w:eastAsia="宋体" w:hAnsi="宋体" w:cs="宋体" w:hint="eastAsia"/>
                <w:color w:val="000000"/>
                <w:kern w:val="0"/>
                <w:sz w:val="22"/>
                <w:lang w:bidi="ar"/>
              </w:rPr>
              <w:t xml:space="preserve">    </w:t>
            </w:r>
            <w:r w:rsidRPr="00BF48E8">
              <w:rPr>
                <w:rFonts w:ascii="宋体" w:eastAsia="宋体" w:hAnsi="宋体" w:cs="宋体" w:hint="eastAsia"/>
                <w:color w:val="000000"/>
                <w:kern w:val="0"/>
                <w:sz w:val="24"/>
                <w:szCs w:val="24"/>
                <w:lang w:bidi="ar"/>
              </w:rPr>
              <w:t xml:space="preserve">以光伏为代表的清洁能源是未来可持续发展的战略核心。近年来，光伏电池技术的发展却面临重大挑战。市场主流的PERC技术光电转换效率已接近24.5%的理论极限，亟需新一代高效技术突破。隧穿氧化物钝化接触电池 (Tunnel oxide passivated contact, </w:t>
            </w:r>
            <w:proofErr w:type="spellStart"/>
            <w:r w:rsidRPr="00BF48E8">
              <w:rPr>
                <w:rFonts w:ascii="宋体" w:eastAsia="宋体" w:hAnsi="宋体" w:cs="宋体" w:hint="eastAsia"/>
                <w:color w:val="000000"/>
                <w:kern w:val="0"/>
                <w:sz w:val="24"/>
                <w:szCs w:val="24"/>
                <w:lang w:bidi="ar"/>
              </w:rPr>
              <w:t>TOPCon</w:t>
            </w:r>
            <w:proofErr w:type="spellEnd"/>
            <w:r w:rsidRPr="00BF48E8">
              <w:rPr>
                <w:rFonts w:ascii="宋体" w:eastAsia="宋体" w:hAnsi="宋体" w:cs="宋体" w:hint="eastAsia"/>
                <w:color w:val="000000"/>
                <w:kern w:val="0"/>
                <w:sz w:val="24"/>
                <w:szCs w:val="24"/>
                <w:lang w:bidi="ar"/>
              </w:rPr>
              <w:t>) 以其极高的效率潜力28.7%，成为下一代高效电池技术首选之一。</w:t>
            </w:r>
            <w:r w:rsidRPr="00BF48E8">
              <w:rPr>
                <w:rFonts w:ascii="宋体" w:eastAsia="宋体" w:hAnsi="宋体" w:cs="宋体" w:hint="eastAsia"/>
                <w:b/>
                <w:bCs/>
                <w:color w:val="000000"/>
                <w:kern w:val="0"/>
                <w:sz w:val="24"/>
                <w:szCs w:val="24"/>
                <w:lang w:bidi="ar"/>
              </w:rPr>
              <w:t>然而，</w:t>
            </w:r>
            <w:proofErr w:type="spellStart"/>
            <w:r w:rsidRPr="00BF48E8">
              <w:rPr>
                <w:rFonts w:ascii="宋体" w:eastAsia="宋体" w:hAnsi="宋体" w:cs="宋体" w:hint="eastAsia"/>
                <w:b/>
                <w:bCs/>
                <w:color w:val="000000"/>
                <w:kern w:val="0"/>
                <w:sz w:val="24"/>
                <w:szCs w:val="24"/>
                <w:lang w:bidi="ar"/>
              </w:rPr>
              <w:t>TOPCon</w:t>
            </w:r>
            <w:proofErr w:type="spellEnd"/>
            <w:r w:rsidRPr="00BF48E8">
              <w:rPr>
                <w:rFonts w:ascii="宋体" w:eastAsia="宋体" w:hAnsi="宋体" w:cs="宋体" w:hint="eastAsia"/>
                <w:b/>
                <w:bCs/>
                <w:color w:val="000000"/>
                <w:kern w:val="0"/>
                <w:sz w:val="24"/>
                <w:szCs w:val="24"/>
                <w:lang w:bidi="ar"/>
              </w:rPr>
              <w:t>电池结构更为复杂，新增正面高温硼扩层、背面隧穿氧化层、掺杂</w:t>
            </w:r>
            <w:proofErr w:type="gramStart"/>
            <w:r w:rsidRPr="00BF48E8">
              <w:rPr>
                <w:rFonts w:ascii="宋体" w:eastAsia="宋体" w:hAnsi="宋体" w:cs="宋体" w:hint="eastAsia"/>
                <w:b/>
                <w:bCs/>
                <w:color w:val="000000"/>
                <w:kern w:val="0"/>
                <w:sz w:val="24"/>
                <w:szCs w:val="24"/>
                <w:lang w:bidi="ar"/>
              </w:rPr>
              <w:t>多晶硅层三道</w:t>
            </w:r>
            <w:proofErr w:type="gramEnd"/>
            <w:r w:rsidRPr="00BF48E8">
              <w:rPr>
                <w:rFonts w:ascii="宋体" w:eastAsia="宋体" w:hAnsi="宋体" w:cs="宋体" w:hint="eastAsia"/>
                <w:b/>
                <w:bCs/>
                <w:color w:val="000000"/>
                <w:kern w:val="0"/>
                <w:sz w:val="24"/>
                <w:szCs w:val="24"/>
                <w:lang w:bidi="ar"/>
              </w:rPr>
              <w:t>核心工序，产业化面临诸多挑战，亟需攻克相关关键技术。</w:t>
            </w:r>
            <w:r w:rsidRPr="00BF48E8">
              <w:rPr>
                <w:rFonts w:ascii="宋体" w:eastAsia="宋体" w:hAnsi="宋体" w:cs="宋体" w:hint="eastAsia"/>
                <w:color w:val="000000"/>
                <w:kern w:val="0"/>
                <w:sz w:val="24"/>
                <w:szCs w:val="24"/>
                <w:lang w:bidi="ar"/>
              </w:rPr>
              <w:br/>
              <w:t xml:space="preserve">    本项目以国家重点研发计划、江苏省人才引进项目以及高校与企业横向项目等为依托，针对</w:t>
            </w:r>
            <w:proofErr w:type="spellStart"/>
            <w:r w:rsidRPr="00BF48E8">
              <w:rPr>
                <w:rFonts w:ascii="宋体" w:eastAsia="宋体" w:hAnsi="宋体" w:cs="宋体" w:hint="eastAsia"/>
                <w:color w:val="000000"/>
                <w:kern w:val="0"/>
                <w:sz w:val="24"/>
                <w:szCs w:val="24"/>
                <w:lang w:bidi="ar"/>
              </w:rPr>
              <w:t>TOPCon</w:t>
            </w:r>
            <w:proofErr w:type="spellEnd"/>
            <w:r w:rsidRPr="00BF48E8">
              <w:rPr>
                <w:rFonts w:ascii="宋体" w:eastAsia="宋体" w:hAnsi="宋体" w:cs="宋体" w:hint="eastAsia"/>
                <w:color w:val="000000"/>
                <w:kern w:val="0"/>
                <w:sz w:val="24"/>
                <w:szCs w:val="24"/>
                <w:lang w:bidi="ar"/>
              </w:rPr>
              <w:t>新增的三道核心工序，通过</w:t>
            </w:r>
            <w:proofErr w:type="gramStart"/>
            <w:r w:rsidRPr="00BF48E8">
              <w:rPr>
                <w:rFonts w:ascii="宋体" w:eastAsia="宋体" w:hAnsi="宋体" w:cs="宋体" w:hint="eastAsia"/>
                <w:color w:val="000000"/>
                <w:kern w:val="0"/>
                <w:sz w:val="24"/>
                <w:szCs w:val="24"/>
                <w:lang w:bidi="ar"/>
              </w:rPr>
              <w:t>镀</w:t>
            </w:r>
            <w:proofErr w:type="gramEnd"/>
            <w:r w:rsidRPr="00BF48E8">
              <w:rPr>
                <w:rFonts w:ascii="宋体" w:eastAsia="宋体" w:hAnsi="宋体" w:cs="宋体" w:hint="eastAsia"/>
                <w:color w:val="000000"/>
                <w:kern w:val="0"/>
                <w:sz w:val="24"/>
                <w:szCs w:val="24"/>
                <w:lang w:bidi="ar"/>
              </w:rPr>
              <w:t>膜技术与装备协同创新，突破国际技术壁垒，实现</w:t>
            </w:r>
            <w:proofErr w:type="spellStart"/>
            <w:r w:rsidRPr="00BF48E8">
              <w:rPr>
                <w:rFonts w:ascii="宋体" w:eastAsia="宋体" w:hAnsi="宋体" w:cs="宋体" w:hint="eastAsia"/>
                <w:color w:val="000000"/>
                <w:kern w:val="0"/>
                <w:sz w:val="24"/>
                <w:szCs w:val="24"/>
                <w:lang w:bidi="ar"/>
              </w:rPr>
              <w:t>TOPCon</w:t>
            </w:r>
            <w:proofErr w:type="spellEnd"/>
            <w:r w:rsidRPr="00BF48E8">
              <w:rPr>
                <w:rFonts w:ascii="宋体" w:eastAsia="宋体" w:hAnsi="宋体" w:cs="宋体" w:hint="eastAsia"/>
                <w:color w:val="000000"/>
                <w:kern w:val="0"/>
                <w:sz w:val="24"/>
                <w:szCs w:val="24"/>
                <w:lang w:bidi="ar"/>
              </w:rPr>
              <w:t>全链条国产化，推动我国光</w:t>
            </w:r>
            <w:proofErr w:type="gramStart"/>
            <w:r w:rsidRPr="00BF48E8">
              <w:rPr>
                <w:rFonts w:ascii="宋体" w:eastAsia="宋体" w:hAnsi="宋体" w:cs="宋体" w:hint="eastAsia"/>
                <w:color w:val="000000"/>
                <w:kern w:val="0"/>
                <w:sz w:val="24"/>
                <w:szCs w:val="24"/>
                <w:lang w:bidi="ar"/>
              </w:rPr>
              <w:t>伏产业</w:t>
            </w:r>
            <w:proofErr w:type="gramEnd"/>
            <w:r w:rsidRPr="00BF48E8">
              <w:rPr>
                <w:rFonts w:ascii="宋体" w:eastAsia="宋体" w:hAnsi="宋体" w:cs="宋体" w:hint="eastAsia"/>
                <w:color w:val="000000"/>
                <w:kern w:val="0"/>
                <w:sz w:val="24"/>
                <w:szCs w:val="24"/>
                <w:lang w:bidi="ar"/>
              </w:rPr>
              <w:t>技术迭代。主要创新点如下：</w:t>
            </w:r>
            <w:r w:rsidRPr="00BF48E8">
              <w:rPr>
                <w:rFonts w:ascii="宋体" w:eastAsia="宋体" w:hAnsi="宋体" w:cs="宋体" w:hint="eastAsia"/>
                <w:color w:val="000000"/>
                <w:kern w:val="0"/>
                <w:sz w:val="24"/>
                <w:szCs w:val="24"/>
                <w:lang w:bidi="ar"/>
              </w:rPr>
              <w:br/>
              <w:t xml:space="preserve">    </w:t>
            </w:r>
            <w:r w:rsidRPr="00BF48E8">
              <w:rPr>
                <w:rFonts w:ascii="宋体" w:eastAsia="宋体" w:hAnsi="宋体" w:cs="宋体" w:hint="eastAsia"/>
                <w:b/>
                <w:bCs/>
                <w:color w:val="000000"/>
                <w:kern w:val="0"/>
                <w:sz w:val="24"/>
                <w:szCs w:val="24"/>
                <w:lang w:bidi="ar"/>
              </w:rPr>
              <w:t>1、管式ALD/PEALD氧化铝钝化技术突破与单面镀膜技术革新</w:t>
            </w:r>
            <w:r w:rsidRPr="00BF48E8">
              <w:rPr>
                <w:rFonts w:ascii="宋体" w:eastAsia="宋体" w:hAnsi="宋体" w:cs="宋体" w:hint="eastAsia"/>
                <w:color w:val="000000"/>
                <w:kern w:val="0"/>
                <w:sz w:val="24"/>
                <w:szCs w:val="24"/>
                <w:lang w:bidi="ar"/>
              </w:rPr>
              <w:br/>
              <w:t xml:space="preserve">    自主研发的新型管式ALD/PEALD钝化技术，通过石墨舟通孔和导气槽设计，解决了管式PEALD电场均匀性、镀膜均匀性等原理性问题，实现了ALD单面镀膜技术的创新。通过氧化前驱体界面预处理、匀流板流场优化和1.5倍舟等创新，攻克了</w:t>
            </w:r>
            <w:proofErr w:type="spellStart"/>
            <w:r w:rsidRPr="00BF48E8">
              <w:rPr>
                <w:rFonts w:ascii="宋体" w:eastAsia="宋体" w:hAnsi="宋体" w:cs="宋体" w:hint="eastAsia"/>
                <w:color w:val="000000"/>
                <w:kern w:val="0"/>
                <w:sz w:val="24"/>
                <w:szCs w:val="24"/>
                <w:lang w:bidi="ar"/>
              </w:rPr>
              <w:t>TOPCon</w:t>
            </w:r>
            <w:proofErr w:type="spellEnd"/>
            <w:r w:rsidRPr="00BF48E8">
              <w:rPr>
                <w:rFonts w:ascii="宋体" w:eastAsia="宋体" w:hAnsi="宋体" w:cs="宋体" w:hint="eastAsia"/>
                <w:color w:val="000000"/>
                <w:kern w:val="0"/>
                <w:sz w:val="24"/>
                <w:szCs w:val="24"/>
                <w:lang w:bidi="ar"/>
              </w:rPr>
              <w:t>电池硼扩层钝化的效率与良率瓶颈，实现大产能设备需求。</w:t>
            </w:r>
            <w:r w:rsidRPr="00BF48E8">
              <w:rPr>
                <w:rFonts w:ascii="宋体" w:eastAsia="宋体" w:hAnsi="宋体" w:cs="宋体" w:hint="eastAsia"/>
                <w:color w:val="000000"/>
                <w:kern w:val="0"/>
                <w:sz w:val="24"/>
                <w:szCs w:val="24"/>
                <w:lang w:bidi="ar"/>
              </w:rPr>
              <w:br/>
              <w:t xml:space="preserve">    </w:t>
            </w:r>
            <w:r w:rsidRPr="00BF48E8">
              <w:rPr>
                <w:rFonts w:ascii="宋体" w:eastAsia="宋体" w:hAnsi="宋体" w:cs="宋体" w:hint="eastAsia"/>
                <w:b/>
                <w:bCs/>
                <w:color w:val="000000"/>
                <w:kern w:val="0"/>
                <w:sz w:val="24"/>
                <w:szCs w:val="24"/>
                <w:lang w:bidi="ar"/>
              </w:rPr>
              <w:t>2、研发了管式PEALD/PECVD原子级隧穿氧化层精确控制技术</w:t>
            </w:r>
            <w:r w:rsidRPr="00BF48E8">
              <w:rPr>
                <w:rFonts w:ascii="宋体" w:eastAsia="宋体" w:hAnsi="宋体" w:cs="宋体" w:hint="eastAsia"/>
                <w:color w:val="000000"/>
                <w:kern w:val="0"/>
                <w:sz w:val="24"/>
                <w:szCs w:val="24"/>
                <w:lang w:bidi="ar"/>
              </w:rPr>
              <w:br/>
              <w:t xml:space="preserve">    针对</w:t>
            </w:r>
            <w:proofErr w:type="spellStart"/>
            <w:r w:rsidRPr="00BF48E8">
              <w:rPr>
                <w:rFonts w:ascii="宋体" w:eastAsia="宋体" w:hAnsi="宋体" w:cs="宋体" w:hint="eastAsia"/>
                <w:color w:val="000000"/>
                <w:kern w:val="0"/>
                <w:sz w:val="24"/>
                <w:szCs w:val="24"/>
                <w:lang w:bidi="ar"/>
              </w:rPr>
              <w:t>TOPCon</w:t>
            </w:r>
            <w:proofErr w:type="spellEnd"/>
            <w:r w:rsidRPr="00BF48E8">
              <w:rPr>
                <w:rFonts w:ascii="宋体" w:eastAsia="宋体" w:hAnsi="宋体" w:cs="宋体" w:hint="eastAsia"/>
                <w:color w:val="000000"/>
                <w:kern w:val="0"/>
                <w:sz w:val="24"/>
                <w:szCs w:val="24"/>
                <w:lang w:bidi="ar"/>
              </w:rPr>
              <w:t>电池背面核心薄膜隧穿层膜厚小于2nm的量产控制问题，自主研发管式PEALD/PECVD 隧穿氧化层技术，通过内生长与外延结合的创新镀膜方式，在光伏电池量产应用上实现隧穿氧</w:t>
            </w:r>
            <w:r w:rsidRPr="00BF48E8">
              <w:rPr>
                <w:rFonts w:ascii="宋体" w:eastAsia="宋体" w:hAnsi="宋体" w:cs="宋体" w:hint="eastAsia"/>
                <w:color w:val="000000"/>
                <w:kern w:val="0"/>
                <w:sz w:val="24"/>
                <w:szCs w:val="24"/>
                <w:lang w:bidi="ar"/>
              </w:rPr>
              <w:lastRenderedPageBreak/>
              <w:t>化层原子级的膜厚精确控制。</w:t>
            </w:r>
            <w:r w:rsidRPr="00BF48E8">
              <w:rPr>
                <w:rFonts w:ascii="宋体" w:eastAsia="宋体" w:hAnsi="宋体" w:cs="宋体" w:hint="eastAsia"/>
                <w:color w:val="000000"/>
                <w:kern w:val="0"/>
                <w:sz w:val="24"/>
                <w:szCs w:val="24"/>
                <w:lang w:bidi="ar"/>
              </w:rPr>
              <w:br/>
              <w:t xml:space="preserve">    </w:t>
            </w:r>
            <w:r w:rsidRPr="00BF48E8">
              <w:rPr>
                <w:rFonts w:ascii="宋体" w:eastAsia="宋体" w:hAnsi="宋体" w:cs="宋体" w:hint="eastAsia"/>
                <w:b/>
                <w:bCs/>
                <w:color w:val="000000"/>
                <w:kern w:val="0"/>
                <w:sz w:val="24"/>
                <w:szCs w:val="24"/>
                <w:lang w:bidi="ar"/>
              </w:rPr>
              <w:t>3、管式PECVD Poly原位掺杂镀膜技术与量产装备的突破</w:t>
            </w:r>
            <w:r w:rsidRPr="00BF48E8">
              <w:rPr>
                <w:rFonts w:ascii="宋体" w:eastAsia="宋体" w:hAnsi="宋体" w:cs="宋体" w:hint="eastAsia"/>
                <w:color w:val="000000"/>
                <w:kern w:val="0"/>
                <w:sz w:val="24"/>
                <w:szCs w:val="24"/>
                <w:lang w:bidi="ar"/>
              </w:rPr>
              <w:br/>
              <w:t xml:space="preserve">    针对</w:t>
            </w:r>
            <w:proofErr w:type="spellStart"/>
            <w:r w:rsidRPr="00BF48E8">
              <w:rPr>
                <w:rFonts w:ascii="宋体" w:eastAsia="宋体" w:hAnsi="宋体" w:cs="宋体" w:hint="eastAsia"/>
                <w:color w:val="000000"/>
                <w:kern w:val="0"/>
                <w:sz w:val="24"/>
                <w:szCs w:val="24"/>
                <w:lang w:bidi="ar"/>
              </w:rPr>
              <w:t>TOPCon</w:t>
            </w:r>
            <w:proofErr w:type="spellEnd"/>
            <w:r w:rsidRPr="00BF48E8">
              <w:rPr>
                <w:rFonts w:ascii="宋体" w:eastAsia="宋体" w:hAnsi="宋体" w:cs="宋体" w:hint="eastAsia"/>
                <w:color w:val="000000"/>
                <w:kern w:val="0"/>
                <w:sz w:val="24"/>
                <w:szCs w:val="24"/>
                <w:lang w:bidi="ar"/>
              </w:rPr>
              <w:t>电池背面核心薄膜层掺杂多晶硅的量产问题，通过管式PECVD原位磷掺镀膜技术与量产装备的协同创新，结合形貌应力、叠层膜、梯度掺杂、可拆卸电极馈入装置设计等技术，攻克了管式PECVD设备镀导电膜的产业化瓶颈。</w:t>
            </w:r>
            <w:r w:rsidRPr="00BF48E8">
              <w:rPr>
                <w:rFonts w:ascii="宋体" w:eastAsia="宋体" w:hAnsi="宋体" w:cs="宋体" w:hint="eastAsia"/>
                <w:color w:val="000000"/>
                <w:kern w:val="0"/>
                <w:sz w:val="24"/>
                <w:szCs w:val="24"/>
                <w:lang w:bidi="ar"/>
              </w:rPr>
              <w:br/>
              <w:t xml:space="preserve">    </w:t>
            </w:r>
            <w:r w:rsidRPr="00BF48E8">
              <w:rPr>
                <w:rFonts w:ascii="宋体" w:eastAsia="宋体" w:hAnsi="宋体" w:cs="宋体" w:hint="eastAsia"/>
                <w:b/>
                <w:bCs/>
                <w:color w:val="000000"/>
                <w:kern w:val="0"/>
                <w:sz w:val="24"/>
                <w:szCs w:val="24"/>
                <w:lang w:bidi="ar"/>
              </w:rPr>
              <w:t>4、管式PE-</w:t>
            </w:r>
            <w:proofErr w:type="spellStart"/>
            <w:r w:rsidRPr="00BF48E8">
              <w:rPr>
                <w:rFonts w:ascii="宋体" w:eastAsia="宋体" w:hAnsi="宋体" w:cs="宋体" w:hint="eastAsia"/>
                <w:b/>
                <w:bCs/>
                <w:color w:val="000000"/>
                <w:kern w:val="0"/>
                <w:sz w:val="24"/>
                <w:szCs w:val="24"/>
                <w:lang w:bidi="ar"/>
              </w:rPr>
              <w:t>ToxPoly</w:t>
            </w:r>
            <w:proofErr w:type="spellEnd"/>
            <w:r w:rsidRPr="00BF48E8">
              <w:rPr>
                <w:rFonts w:ascii="宋体" w:eastAsia="宋体" w:hAnsi="宋体" w:cs="宋体" w:hint="eastAsia"/>
                <w:b/>
                <w:bCs/>
                <w:color w:val="000000"/>
                <w:kern w:val="0"/>
                <w:sz w:val="24"/>
                <w:szCs w:val="24"/>
                <w:lang w:bidi="ar"/>
              </w:rPr>
              <w:t>新集成设备技术创新突破以及PE-</w:t>
            </w:r>
            <w:proofErr w:type="spellStart"/>
            <w:r w:rsidRPr="00BF48E8">
              <w:rPr>
                <w:rFonts w:ascii="宋体" w:eastAsia="宋体" w:hAnsi="宋体" w:cs="宋体" w:hint="eastAsia"/>
                <w:b/>
                <w:bCs/>
                <w:color w:val="000000"/>
                <w:kern w:val="0"/>
                <w:sz w:val="24"/>
                <w:szCs w:val="24"/>
                <w:lang w:bidi="ar"/>
              </w:rPr>
              <w:t>TOPCon</w:t>
            </w:r>
            <w:proofErr w:type="spellEnd"/>
            <w:r w:rsidRPr="00BF48E8">
              <w:rPr>
                <w:rFonts w:ascii="宋体" w:eastAsia="宋体" w:hAnsi="宋体" w:cs="宋体" w:hint="eastAsia"/>
                <w:b/>
                <w:bCs/>
                <w:color w:val="000000"/>
                <w:kern w:val="0"/>
                <w:sz w:val="24"/>
                <w:szCs w:val="24"/>
                <w:lang w:bidi="ar"/>
              </w:rPr>
              <w:t>器件新技术路线的产业化</w:t>
            </w:r>
            <w:r w:rsidRPr="00BF48E8">
              <w:rPr>
                <w:rFonts w:ascii="宋体" w:eastAsia="宋体" w:hAnsi="宋体" w:cs="宋体" w:hint="eastAsia"/>
                <w:color w:val="000000"/>
                <w:kern w:val="0"/>
                <w:sz w:val="24"/>
                <w:szCs w:val="24"/>
                <w:lang w:bidi="ar"/>
              </w:rPr>
              <w:br/>
              <w:t xml:space="preserve">    针对新技术产业化的需求，自主研发了PE-</w:t>
            </w:r>
            <w:proofErr w:type="spellStart"/>
            <w:r w:rsidRPr="00BF48E8">
              <w:rPr>
                <w:rFonts w:ascii="宋体" w:eastAsia="宋体" w:hAnsi="宋体" w:cs="宋体" w:hint="eastAsia"/>
                <w:color w:val="000000"/>
                <w:kern w:val="0"/>
                <w:sz w:val="24"/>
                <w:szCs w:val="24"/>
                <w:lang w:bidi="ar"/>
              </w:rPr>
              <w:t>ToxPoly</w:t>
            </w:r>
            <w:proofErr w:type="spellEnd"/>
            <w:r w:rsidRPr="00BF48E8">
              <w:rPr>
                <w:rFonts w:ascii="宋体" w:eastAsia="宋体" w:hAnsi="宋体" w:cs="宋体" w:hint="eastAsia"/>
                <w:color w:val="000000"/>
                <w:kern w:val="0"/>
                <w:sz w:val="24"/>
                <w:szCs w:val="24"/>
                <w:lang w:bidi="ar"/>
              </w:rPr>
              <w:t xml:space="preserve"> (Plasma enabled tunnel oxide polysilicon) 四合一新设备技术。创造性将管式PECVD与PEALD集成于同一工艺管，可以在同一工艺管内连续完成隧穿层、掺杂多晶硅层和掩膜层，一道工序完成</w:t>
            </w:r>
            <w:proofErr w:type="spellStart"/>
            <w:r w:rsidRPr="00BF48E8">
              <w:rPr>
                <w:rFonts w:ascii="宋体" w:eastAsia="宋体" w:hAnsi="宋体" w:cs="宋体" w:hint="eastAsia"/>
                <w:color w:val="000000"/>
                <w:kern w:val="0"/>
                <w:sz w:val="24"/>
                <w:szCs w:val="24"/>
                <w:lang w:bidi="ar"/>
              </w:rPr>
              <w:t>TOPCon</w:t>
            </w:r>
            <w:proofErr w:type="spellEnd"/>
            <w:r w:rsidRPr="00BF48E8">
              <w:rPr>
                <w:rFonts w:ascii="宋体" w:eastAsia="宋体" w:hAnsi="宋体" w:cs="宋体" w:hint="eastAsia"/>
                <w:color w:val="000000"/>
                <w:kern w:val="0"/>
                <w:sz w:val="24"/>
                <w:szCs w:val="24"/>
                <w:lang w:bidi="ar"/>
              </w:rPr>
              <w:t>电池背面核心膜层的沉积，大幅简化生产制造成本。</w:t>
            </w:r>
            <w:r w:rsidRPr="00BF48E8">
              <w:rPr>
                <w:rFonts w:ascii="宋体" w:eastAsia="宋体" w:hAnsi="宋体" w:cs="宋体" w:hint="eastAsia"/>
                <w:color w:val="000000"/>
                <w:kern w:val="0"/>
                <w:sz w:val="24"/>
                <w:szCs w:val="24"/>
                <w:lang w:bidi="ar"/>
              </w:rPr>
              <w:br/>
              <w:t xml:space="preserve">    </w:t>
            </w:r>
            <w:r w:rsidRPr="00BF48E8">
              <w:rPr>
                <w:rFonts w:ascii="宋体" w:eastAsia="宋体" w:hAnsi="宋体" w:cs="宋体" w:hint="eastAsia"/>
                <w:color w:val="EE0000"/>
                <w:kern w:val="0"/>
                <w:sz w:val="24"/>
                <w:szCs w:val="24"/>
                <w:lang w:bidi="ar"/>
              </w:rPr>
              <w:t>上述技术突破攻克了</w:t>
            </w:r>
            <w:proofErr w:type="spellStart"/>
            <w:r w:rsidRPr="00BF48E8">
              <w:rPr>
                <w:rFonts w:ascii="宋体" w:eastAsia="宋体" w:hAnsi="宋体" w:cs="宋体" w:hint="eastAsia"/>
                <w:color w:val="EE0000"/>
                <w:kern w:val="0"/>
                <w:sz w:val="24"/>
                <w:szCs w:val="24"/>
                <w:lang w:bidi="ar"/>
              </w:rPr>
              <w:t>TOPCon</w:t>
            </w:r>
            <w:proofErr w:type="spellEnd"/>
            <w:r w:rsidRPr="00BF48E8">
              <w:rPr>
                <w:rFonts w:ascii="宋体" w:eastAsia="宋体" w:hAnsi="宋体" w:cs="宋体" w:hint="eastAsia"/>
                <w:color w:val="EE0000"/>
                <w:kern w:val="0"/>
                <w:sz w:val="24"/>
                <w:szCs w:val="24"/>
                <w:lang w:bidi="ar"/>
              </w:rPr>
              <w:t>产业化瓶颈，助力了光伏电池从PERC到</w:t>
            </w:r>
            <w:proofErr w:type="spellStart"/>
            <w:r w:rsidRPr="00BF48E8">
              <w:rPr>
                <w:rFonts w:ascii="宋体" w:eastAsia="宋体" w:hAnsi="宋体" w:cs="宋体" w:hint="eastAsia"/>
                <w:color w:val="EE0000"/>
                <w:kern w:val="0"/>
                <w:sz w:val="24"/>
                <w:szCs w:val="24"/>
                <w:lang w:bidi="ar"/>
              </w:rPr>
              <w:t>TOPCon</w:t>
            </w:r>
            <w:proofErr w:type="spellEnd"/>
            <w:r w:rsidRPr="00BF48E8">
              <w:rPr>
                <w:rFonts w:ascii="宋体" w:eastAsia="宋体" w:hAnsi="宋体" w:cs="宋体" w:hint="eastAsia"/>
                <w:color w:val="EE0000"/>
                <w:kern w:val="0"/>
                <w:sz w:val="24"/>
                <w:szCs w:val="24"/>
                <w:lang w:bidi="ar"/>
              </w:rPr>
              <w:t>的技术迭代，转换效率从23%提升到25%以上，市占率从2022年的6%提升到2024年70%。</w:t>
            </w:r>
            <w:r w:rsidRPr="00BF48E8">
              <w:rPr>
                <w:rFonts w:ascii="宋体" w:eastAsia="宋体" w:hAnsi="宋体" w:cs="宋体" w:hint="eastAsia"/>
                <w:color w:val="000000"/>
                <w:kern w:val="0"/>
                <w:sz w:val="24"/>
                <w:szCs w:val="24"/>
                <w:lang w:bidi="ar"/>
              </w:rPr>
              <w:t>该项目已授权专利45项，其中发明专利18项。发表学术论文10篇。</w:t>
            </w:r>
            <w:r w:rsidRPr="00BF48E8">
              <w:rPr>
                <w:rFonts w:ascii="宋体" w:eastAsia="宋体" w:hAnsi="宋体" w:cs="宋体" w:hint="eastAsia"/>
                <w:color w:val="EE0000"/>
                <w:kern w:val="0"/>
                <w:sz w:val="24"/>
                <w:szCs w:val="24"/>
                <w:lang w:bidi="ar"/>
              </w:rPr>
              <w:t>研究成果多次被行业头部期刊选为杂志封面。</w:t>
            </w:r>
            <w:r w:rsidRPr="00BF48E8">
              <w:rPr>
                <w:rFonts w:ascii="宋体" w:eastAsia="宋体" w:hAnsi="宋体" w:cs="宋体" w:hint="eastAsia"/>
                <w:color w:val="000000"/>
                <w:kern w:val="0"/>
                <w:sz w:val="24"/>
                <w:szCs w:val="24"/>
                <w:lang w:bidi="ar"/>
              </w:rPr>
              <w:t>以上技术已实现产业化，</w:t>
            </w:r>
            <w:r w:rsidRPr="00BF48E8">
              <w:rPr>
                <w:rFonts w:ascii="宋体" w:eastAsia="宋体" w:hAnsi="宋体" w:cs="宋体" w:hint="eastAsia"/>
                <w:color w:val="EE0000"/>
                <w:kern w:val="0"/>
                <w:sz w:val="24"/>
                <w:szCs w:val="24"/>
                <w:lang w:bidi="ar"/>
              </w:rPr>
              <w:t xml:space="preserve">该项目的设备已经应用到通威、天合光能、阿特斯等全球光伏排名前五的企业，管式ALD和管式PECVD </w:t>
            </w:r>
            <w:proofErr w:type="spellStart"/>
            <w:r w:rsidRPr="00BF48E8">
              <w:rPr>
                <w:rFonts w:ascii="宋体" w:eastAsia="宋体" w:hAnsi="宋体" w:cs="宋体" w:hint="eastAsia"/>
                <w:color w:val="EE0000"/>
                <w:kern w:val="0"/>
                <w:sz w:val="24"/>
                <w:szCs w:val="24"/>
                <w:lang w:bidi="ar"/>
              </w:rPr>
              <w:t>ToxPoly</w:t>
            </w:r>
            <w:proofErr w:type="spellEnd"/>
            <w:r w:rsidRPr="00BF48E8">
              <w:rPr>
                <w:rFonts w:ascii="宋体" w:eastAsia="宋体" w:hAnsi="宋体" w:cs="宋体" w:hint="eastAsia"/>
                <w:color w:val="EE0000"/>
                <w:kern w:val="0"/>
                <w:sz w:val="24"/>
                <w:szCs w:val="24"/>
                <w:lang w:bidi="ar"/>
              </w:rPr>
              <w:t>设备累计国内市场占有率第一，成为</w:t>
            </w:r>
            <w:proofErr w:type="spellStart"/>
            <w:r w:rsidRPr="00BF48E8">
              <w:rPr>
                <w:rFonts w:ascii="宋体" w:eastAsia="宋体" w:hAnsi="宋体" w:cs="宋体" w:hint="eastAsia"/>
                <w:color w:val="EE0000"/>
                <w:kern w:val="0"/>
                <w:sz w:val="24"/>
                <w:szCs w:val="24"/>
                <w:lang w:bidi="ar"/>
              </w:rPr>
              <w:t>TOPCon</w:t>
            </w:r>
            <w:proofErr w:type="spellEnd"/>
            <w:r w:rsidRPr="00BF48E8">
              <w:rPr>
                <w:rFonts w:ascii="宋体" w:eastAsia="宋体" w:hAnsi="宋体" w:cs="宋体" w:hint="eastAsia"/>
                <w:color w:val="EE0000"/>
                <w:kern w:val="0"/>
                <w:sz w:val="24"/>
                <w:szCs w:val="24"/>
                <w:lang w:bidi="ar"/>
              </w:rPr>
              <w:t>产业化主流技术。微导纳米新设备2021年至2024年累计实现销售收入45.64亿元，累计在手订单51.88亿元。应用单位新增销售收入超百亿。</w:t>
            </w:r>
            <w:r w:rsidRPr="00BF48E8">
              <w:rPr>
                <w:rFonts w:ascii="宋体" w:eastAsia="宋体" w:hAnsi="宋体" w:cs="宋体" w:hint="eastAsia"/>
                <w:color w:val="000000"/>
                <w:kern w:val="0"/>
                <w:sz w:val="24"/>
                <w:szCs w:val="24"/>
                <w:lang w:bidi="ar"/>
              </w:rPr>
              <w:br/>
              <w:t xml:space="preserve">     </w:t>
            </w:r>
            <w:r w:rsidRPr="00BF48E8">
              <w:rPr>
                <w:rFonts w:ascii="宋体" w:eastAsia="宋体" w:hAnsi="宋体" w:cs="宋体" w:hint="eastAsia"/>
                <w:color w:val="EE0000"/>
                <w:kern w:val="0"/>
                <w:sz w:val="24"/>
                <w:szCs w:val="24"/>
                <w:lang w:bidi="ar"/>
              </w:rPr>
              <w:t>本项目通过了中国电子学会的科技成果鉴定，以中科院院士杨德仁和亚太材料科学院院士沈鸿烈等专家组成的鉴定委员会一致认为“项目围绕</w:t>
            </w:r>
            <w:proofErr w:type="spellStart"/>
            <w:r w:rsidRPr="00BF48E8">
              <w:rPr>
                <w:rFonts w:ascii="宋体" w:eastAsia="宋体" w:hAnsi="宋体" w:cs="宋体" w:hint="eastAsia"/>
                <w:color w:val="EE0000"/>
                <w:kern w:val="0"/>
                <w:sz w:val="24"/>
                <w:szCs w:val="24"/>
                <w:lang w:bidi="ar"/>
              </w:rPr>
              <w:t>TOPCon</w:t>
            </w:r>
            <w:proofErr w:type="spellEnd"/>
            <w:r w:rsidRPr="00BF48E8">
              <w:rPr>
                <w:rFonts w:ascii="宋体" w:eastAsia="宋体" w:hAnsi="宋体" w:cs="宋体" w:hint="eastAsia"/>
                <w:color w:val="EE0000"/>
                <w:kern w:val="0"/>
                <w:sz w:val="24"/>
                <w:szCs w:val="24"/>
                <w:lang w:bidi="ar"/>
              </w:rPr>
              <w:t>电池钝化、隧穿、掺杂等产业化技术难题，创新应用了管式PE产业化技术。该技术及装备创新性强，市场占有率高，用户反映良好，关键产业化技术指标达到国际领先水平”。</w:t>
            </w:r>
          </w:p>
        </w:tc>
      </w:tr>
    </w:tbl>
    <w:p w14:paraId="72343A09" w14:textId="77777777" w:rsidR="00162D89" w:rsidRDefault="00162D89">
      <w:pPr>
        <w:adjustRightInd w:val="0"/>
        <w:snapToGrid w:val="0"/>
        <w:spacing w:line="560" w:lineRule="exact"/>
        <w:ind w:firstLineChars="200" w:firstLine="640"/>
        <w:rPr>
          <w:rFonts w:ascii="仿宋_GB2312" w:eastAsia="仿宋_GB2312" w:hAnsi="宋体"/>
          <w:sz w:val="32"/>
          <w:szCs w:val="32"/>
        </w:rPr>
      </w:pPr>
    </w:p>
    <w:sectPr w:rsidR="00162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16BA" w14:textId="77777777" w:rsidR="0097347A" w:rsidRDefault="0097347A" w:rsidP="000A1FF8">
      <w:r>
        <w:separator/>
      </w:r>
    </w:p>
  </w:endnote>
  <w:endnote w:type="continuationSeparator" w:id="0">
    <w:p w14:paraId="53EA8209" w14:textId="77777777" w:rsidR="0097347A" w:rsidRDefault="0097347A" w:rsidP="000A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00"/>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6FC0" w14:textId="77777777" w:rsidR="0097347A" w:rsidRDefault="0097347A" w:rsidP="000A1FF8">
      <w:r>
        <w:separator/>
      </w:r>
    </w:p>
  </w:footnote>
  <w:footnote w:type="continuationSeparator" w:id="0">
    <w:p w14:paraId="424D0590" w14:textId="77777777" w:rsidR="0097347A" w:rsidRDefault="0097347A" w:rsidP="000A1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Q0MjYytDQwMDA1NTNU0lEKTi0uzszPAykwrAUArOngCSwAAAA="/>
  </w:docVars>
  <w:rsids>
    <w:rsidRoot w:val="006B75BF"/>
    <w:rsid w:val="000A1FF8"/>
    <w:rsid w:val="000F1D8B"/>
    <w:rsid w:val="00133F6B"/>
    <w:rsid w:val="00162D89"/>
    <w:rsid w:val="001B15B5"/>
    <w:rsid w:val="00652FB6"/>
    <w:rsid w:val="006B75BF"/>
    <w:rsid w:val="007E7EF5"/>
    <w:rsid w:val="00905759"/>
    <w:rsid w:val="00931258"/>
    <w:rsid w:val="0097347A"/>
    <w:rsid w:val="00A04494"/>
    <w:rsid w:val="00BB2B2D"/>
    <w:rsid w:val="00BF48E8"/>
    <w:rsid w:val="00C1177B"/>
    <w:rsid w:val="00CB2281"/>
    <w:rsid w:val="00D36753"/>
    <w:rsid w:val="00DF42DF"/>
    <w:rsid w:val="00F50C70"/>
    <w:rsid w:val="02DF39F5"/>
    <w:rsid w:val="05B11678"/>
    <w:rsid w:val="07100621"/>
    <w:rsid w:val="0A075D0B"/>
    <w:rsid w:val="0D1644B7"/>
    <w:rsid w:val="18BD60C6"/>
    <w:rsid w:val="19F8741E"/>
    <w:rsid w:val="1B124510"/>
    <w:rsid w:val="1C1B5646"/>
    <w:rsid w:val="26526108"/>
    <w:rsid w:val="2BB60EE7"/>
    <w:rsid w:val="3178368F"/>
    <w:rsid w:val="33E34843"/>
    <w:rsid w:val="3B36794F"/>
    <w:rsid w:val="3F7B0026"/>
    <w:rsid w:val="41B04383"/>
    <w:rsid w:val="45813EBC"/>
    <w:rsid w:val="45943BEF"/>
    <w:rsid w:val="499E503D"/>
    <w:rsid w:val="4B7A5635"/>
    <w:rsid w:val="4E5524F8"/>
    <w:rsid w:val="50940F47"/>
    <w:rsid w:val="56A874FB"/>
    <w:rsid w:val="56C208DD"/>
    <w:rsid w:val="5F111CFA"/>
    <w:rsid w:val="645E569D"/>
    <w:rsid w:val="70D016D0"/>
    <w:rsid w:val="76285B0A"/>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F3EFE"/>
  <w15:docId w15:val="{9B39FDCF-C5B0-406F-B72D-04A7C4E0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777</Words>
  <Characters>942</Characters>
  <Application>Microsoft Office Word</Application>
  <DocSecurity>0</DocSecurity>
  <Lines>39</Lines>
  <Paragraphs>17</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cheng</dc:creator>
  <cp:lastModifiedBy>baochen liao</cp:lastModifiedBy>
  <cp:revision>4</cp:revision>
  <dcterms:created xsi:type="dcterms:W3CDTF">2026-05-08T07:56:00Z</dcterms:created>
  <dcterms:modified xsi:type="dcterms:W3CDTF">2026-05-16T01:19:00Z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eyJoZGlkIjoiYTM0YTdhMWI4MGM3ZTE0OWMxYjI2YTNmMTQ2ZmFmMjQiLCJ1c2VySWQiOiI2OTk4MzM1NjMifQ==</vt:lpwstr>
  </property>
  <property fmtid="{D5CDD505-2E9C-101B-9397-08002B2CF9AE}" pid="3" name="KSOProductBuildVer">
    <vt:lpwstr>2052-12.1.0.26375</vt:lpwstr>
  </property>
  <property fmtid="{D5CDD505-2E9C-101B-9397-08002B2CF9AE}" pid="4" name="ICV">
    <vt:lpwstr>1BC91F8E4AF04BF19F4E1508FA848BD4_12</vt:lpwstr>
  </property>
</Properties>
</file>